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180" w:rsidRDefault="002B1C5F" w:rsidP="002B1C5F">
      <w:pPr>
        <w:pStyle w:val="Title"/>
      </w:pPr>
      <w:r>
        <w:t>Prophets Muhammad and Jesus:</w:t>
      </w:r>
      <w:r w:rsidR="00E60A07">
        <w:t xml:space="preserve"> Models and Interpreters of Scripture – A comparative study</w:t>
      </w:r>
    </w:p>
    <w:p w:rsidR="00E60A07" w:rsidRDefault="00E60A07">
      <w:pPr>
        <w:rPr>
          <w:b/>
        </w:rPr>
      </w:pPr>
    </w:p>
    <w:p w:rsidR="00E60A07" w:rsidRDefault="00E60A07" w:rsidP="002B1C5F">
      <w:pPr>
        <w:pStyle w:val="Subtitle"/>
      </w:pPr>
      <w:r>
        <w:t>D</w:t>
      </w:r>
      <w:r w:rsidR="00242C1E">
        <w:t xml:space="preserve">r. Wilhelmus G.B.M. Valkenberg, </w:t>
      </w:r>
      <w:r>
        <w:t>The Catholic University of America, Washington DC</w:t>
      </w:r>
    </w:p>
    <w:p w:rsidR="002B1C5F" w:rsidRDefault="002B1C5F">
      <w:pPr>
        <w:rPr>
          <w:i/>
        </w:rPr>
      </w:pPr>
    </w:p>
    <w:p w:rsidR="007D3059" w:rsidRDefault="007D3059" w:rsidP="007D3059">
      <w:pPr>
        <w:pStyle w:val="NoSpacing"/>
        <w:ind w:firstLine="0"/>
      </w:pPr>
    </w:p>
    <w:p w:rsidR="007D3059" w:rsidRDefault="002B1C5F" w:rsidP="007D3059">
      <w:pPr>
        <w:pStyle w:val="NoSpacing"/>
        <w:ind w:firstLine="0"/>
      </w:pPr>
      <w:r>
        <w:t>In the context of this conference on prophethood I will compare the functions of two prophets in their relationship to God’s revelation. I want to focus on the role of prophet Muhammad for Muslims, and of Jesus Christ for Christians, not only as models for living according to this revelation, but also as interpreters of the revelation that they have received from God. In a first paragraph, I will reflect on the possibilities and the limits of such comparisons, since we all know that Muhammad and Jesus Christ do not have the same function for Muslims and Christians</w:t>
      </w:r>
      <w:r w:rsidR="007D3059">
        <w:t xml:space="preserve"> respectively</w:t>
      </w:r>
      <w:r>
        <w:t xml:space="preserve">, and therefore such comparisons always </w:t>
      </w:r>
      <w:r w:rsidR="007D3059">
        <w:t>fall short of the realities they try to describe. In the second paragraph, I will discuss a few texts in which Said Nursi talks about Prophet Muhammad as interpreter of the Qur’an, and finally in the third paragraph I will compare this to Jesus Christ as interpreter of Scripture in the Christian New Testament.</w:t>
      </w:r>
    </w:p>
    <w:p w:rsidR="007D3059" w:rsidRDefault="007D3059" w:rsidP="007D3059">
      <w:pPr>
        <w:pStyle w:val="Heading1"/>
      </w:pPr>
      <w:r>
        <w:t>The Limits of Comparisons: Two Words, two interpreters</w:t>
      </w:r>
    </w:p>
    <w:p w:rsidR="00C4619D" w:rsidRDefault="00C4619D" w:rsidP="00C4619D"/>
    <w:p w:rsidR="008C3E46" w:rsidRDefault="00C4619D" w:rsidP="00C4619D">
      <w:pPr>
        <w:pStyle w:val="NoSpacing"/>
        <w:ind w:firstLine="0"/>
      </w:pPr>
      <w:r>
        <w:t xml:space="preserve">When we want to compare elements from two different religions, we need to be careful not to compare elements that seem to be very </w:t>
      </w:r>
      <w:r>
        <w:lastRenderedPageBreak/>
        <w:t xml:space="preserve">similar but in fact are not. A case in point would be to compare prophet </w:t>
      </w:r>
      <w:r w:rsidRPr="008C3E46">
        <w:rPr>
          <w:i/>
        </w:rPr>
        <w:t>Muhammad</w:t>
      </w:r>
      <w:r>
        <w:t xml:space="preserve"> receiving the revelation of the </w:t>
      </w:r>
      <w:r w:rsidRPr="00C4619D">
        <w:rPr>
          <w:i/>
        </w:rPr>
        <w:t>Qur’</w:t>
      </w:r>
      <w:r>
        <w:rPr>
          <w:i/>
        </w:rPr>
        <w:t>ā</w:t>
      </w:r>
      <w:r w:rsidRPr="00C4619D">
        <w:rPr>
          <w:i/>
        </w:rPr>
        <w:t>n</w:t>
      </w:r>
      <w:r w:rsidR="008C3E46">
        <w:t xml:space="preserve"> with prophet </w:t>
      </w:r>
      <w:r w:rsidR="008C3E46" w:rsidRPr="008C3E46">
        <w:rPr>
          <w:i/>
        </w:rPr>
        <w:t>‘Isa</w:t>
      </w:r>
      <w:r>
        <w:t xml:space="preserve"> receiving the revelation of the </w:t>
      </w:r>
      <w:r>
        <w:rPr>
          <w:i/>
        </w:rPr>
        <w:t xml:space="preserve">Injīl. </w:t>
      </w:r>
      <w:r>
        <w:t xml:space="preserve">This might be a correct comparison from the point of view of the Islamic tradition of interpreting the Qur’an, but it is not correct from the point of view of Christian theology. Christians would not agree with such a comparison for two reasons. </w:t>
      </w:r>
    </w:p>
    <w:p w:rsidR="008C3E46" w:rsidRDefault="00C4619D" w:rsidP="008C3E46">
      <w:pPr>
        <w:pStyle w:val="NoSpacing"/>
      </w:pPr>
      <w:r>
        <w:t>In the first place, they w</w:t>
      </w:r>
      <w:r w:rsidR="00F2599F">
        <w:t xml:space="preserve">ould say that it is possible to </w:t>
      </w:r>
      <w:r>
        <w:t>see J</w:t>
      </w:r>
      <w:r w:rsidR="00F2599F">
        <w:t xml:space="preserve">esus Christ as a Prophet, but that such a point of view fails to appreciate what is essential about Jesus for Christians, viz. that he is not a prophet of God, but identified with God as one of the three persons of the Trinity. </w:t>
      </w:r>
      <w:r w:rsidR="008C3E46">
        <w:t xml:space="preserve">In other words: it is certainly possible to see Jesus as a prophet, but it is not enough. </w:t>
      </w:r>
    </w:p>
    <w:p w:rsidR="00C4619D" w:rsidRDefault="00F2599F" w:rsidP="008C3E46">
      <w:pPr>
        <w:pStyle w:val="NoSpacing"/>
      </w:pPr>
      <w:r>
        <w:t xml:space="preserve">In the second place, they would also say that Jesus Christ is not at the receiving end of revelation, but that He is the Word of God in which God reveals not a Scripture but Godself, and that the writings of the New Testament give testimony of this revelation. </w:t>
      </w:r>
      <w:r w:rsidR="008C3E46">
        <w:t>So, Christians would say that Jesus is not the addressee of God’s revelation, but rather the embodiment of this revelation and, indeed, the revelation of God itself. Therefore</w:t>
      </w:r>
      <w:r w:rsidR="003350DA">
        <w:t xml:space="preserve">, the difference between Islam and Christianity can be summarized – and has often been summarized – in the saying that, whereas in Islam it is the Qur’an that is God’s Word, in Christianity it is not a Scripture but a human being that is God’s Word. </w:t>
      </w:r>
    </w:p>
    <w:p w:rsidR="003350DA" w:rsidRDefault="003350DA" w:rsidP="00C4619D">
      <w:pPr>
        <w:pStyle w:val="NoSpacing"/>
        <w:ind w:firstLine="0"/>
      </w:pPr>
      <w:r>
        <w:tab/>
        <w:t xml:space="preserve">This of course raises an important question: if the difference between Islam and Christianity is so essential, doesn’t that preclude making the sort of comparisons that I intend to make? </w:t>
      </w:r>
      <w:r w:rsidR="008C3E46">
        <w:t xml:space="preserve">Once again, from the perspective of the Qur’an, there seems to be a basic possibility of comparing ‘Isa and Muhammad as prophets, since they are two prophets in a whole series of prophets to whom God has revealed God’s guidance for humankind, Muhammad being the last of the prophets and therefore the most important one. But what about Christianity? Doesn’t the central confession of Jesus Christ as Son and Word of God </w:t>
      </w:r>
      <w:r w:rsidR="00733F15">
        <w:t>exclude the possibility of talking about him as a prophet?</w:t>
      </w:r>
    </w:p>
    <w:p w:rsidR="00733F15" w:rsidRDefault="00733F15" w:rsidP="00C4619D">
      <w:pPr>
        <w:pStyle w:val="NoSpacing"/>
        <w:ind w:firstLine="0"/>
      </w:pPr>
      <w:r>
        <w:tab/>
        <w:t>No, it does not. As I said before, it is possible to talk about Jesus Christ as a prophet in the same way in which it is possible to talk about him as a teacher or a model of spirituality. And in that fashion it is also possible to compare him to other prophets such as Abraham or Elijah or even Muhammad. That is possible because most Christians would see Jesus a</w:t>
      </w:r>
      <w:r w:rsidR="002349F3">
        <w:t xml:space="preserve">s a person who has a human nature </w:t>
      </w:r>
      <w:r>
        <w:t>and at the same time</w:t>
      </w:r>
      <w:r w:rsidR="002349F3">
        <w:t xml:space="preserve"> is divine</w:t>
      </w:r>
      <w:r>
        <w:t>. So, according to his human nature, Jesus can be compared to other human beings. Yet, according to his divine nature, he is different from all creatures</w:t>
      </w:r>
      <w:r w:rsidR="002349F3">
        <w:t xml:space="preserve"> and therefore incomparable. But still, it is possible and even valuable to talk about him</w:t>
      </w:r>
      <w:r w:rsidR="00E833E7">
        <w:t xml:space="preserve"> as a human being. There are two reasons for this. In the first place, belief in the divinity of Jesus Christ has tended to overshadow belief in the humanity of Jesus Christ to such an extent that Christians often did not pay enough attention to the fact that Jesus Christ was a human being indeed, “with sand in his sandals” as one of my teachers used to say. In the second place, the attention to the historical reality of the humanity of Christ has brought home to Christians the fact that Jesus was not a Christian but a Jew, and that he followed in his life the Jewish </w:t>
      </w:r>
      <w:r w:rsidR="00E833E7">
        <w:rPr>
          <w:i/>
        </w:rPr>
        <w:t xml:space="preserve">halakha </w:t>
      </w:r>
      <w:r w:rsidR="00E833E7">
        <w:t xml:space="preserve">or way to observe the </w:t>
      </w:r>
      <w:r w:rsidR="00776158">
        <w:rPr>
          <w:i/>
        </w:rPr>
        <w:t xml:space="preserve">Torah. </w:t>
      </w:r>
      <w:r w:rsidR="002349F3">
        <w:t>Saint Paul, for instance, at the beginning of his Letter to t</w:t>
      </w:r>
      <w:r w:rsidR="00776158">
        <w:t xml:space="preserve">he Romans, introduces Jesus as “son of David according to the flesh, but established as Son of God in power according to the spirit of holiness through resurrection from the dead” (Romans 1:3). After the Second Vatican Council and its important declaration </w:t>
      </w:r>
      <w:r w:rsidR="00776158">
        <w:rPr>
          <w:i/>
        </w:rPr>
        <w:t xml:space="preserve">Nostra Aetate </w:t>
      </w:r>
      <w:r w:rsidR="00776158">
        <w:t>about the relationship between the Church and the other religions, it has been important for Catholics to re-discover this Jewish dimension of Jesus as a human being.</w:t>
      </w:r>
    </w:p>
    <w:p w:rsidR="00776158" w:rsidRDefault="00776158" w:rsidP="00C4619D">
      <w:pPr>
        <w:pStyle w:val="NoSpacing"/>
        <w:ind w:firstLine="0"/>
      </w:pPr>
      <w:r>
        <w:tab/>
        <w:t xml:space="preserve">If we look at </w:t>
      </w:r>
      <w:r w:rsidR="001A0651">
        <w:t xml:space="preserve">Jesus in this way as a follower of the Jewish way to obey God’s guidance in the </w:t>
      </w:r>
      <w:r w:rsidR="001A0651">
        <w:rPr>
          <w:i/>
        </w:rPr>
        <w:t>Torah</w:t>
      </w:r>
      <w:r w:rsidR="001A0651">
        <w:t xml:space="preserve">, it becomes possible to see that there is a succession of Scriptures containing God’s guidance for humankind in both religions. In Islam, there is a series of prophets and messengers to whom God gave this guidance in </w:t>
      </w:r>
      <w:r w:rsidR="001A0651">
        <w:rPr>
          <w:i/>
        </w:rPr>
        <w:t xml:space="preserve">Torah, Injīl </w:t>
      </w:r>
      <w:r w:rsidR="001A0651">
        <w:t xml:space="preserve">and finally, endorsing and validating them all, the </w:t>
      </w:r>
      <w:r w:rsidR="001A0651">
        <w:rPr>
          <w:i/>
        </w:rPr>
        <w:t xml:space="preserve">Qur’ān. </w:t>
      </w:r>
      <w:r w:rsidR="001A0651">
        <w:t xml:space="preserve">In Christianity the succession is not so much in a series of prophets, but in a series of covenants in which God </w:t>
      </w:r>
      <w:r w:rsidR="00944B5B">
        <w:t xml:space="preserve">entered into a relationship first with the Jewish people, and later, fulfilling the promises made in a new and everlasting covenant, with the Christian Church through the revelation in Jesus Christ of which the scriptures of the New Testament bear witness. In both cases there is a form of what theologians call “supersessionism,” meaning that the new revelation supersedes (but not invalidates) the old revelation, but in the two traditions supersessionism works somewhat differently because the Christians kept the testimonies of the first covenant but subordinated them as an “Old Testament” to the New Testament about Jesus Christ, while </w:t>
      </w:r>
      <w:r w:rsidR="006C581F">
        <w:t xml:space="preserve">Muslims in theory accepted the value of </w:t>
      </w:r>
      <w:r w:rsidR="006C581F">
        <w:rPr>
          <w:i/>
        </w:rPr>
        <w:t xml:space="preserve">Taurat </w:t>
      </w:r>
      <w:r w:rsidR="006C581F">
        <w:t xml:space="preserve">and </w:t>
      </w:r>
      <w:r w:rsidR="006C581F">
        <w:rPr>
          <w:i/>
        </w:rPr>
        <w:t xml:space="preserve">Injīl </w:t>
      </w:r>
      <w:r w:rsidR="006C581F">
        <w:t>as revelations from God given to the “People of the Scripture” but in fact did not care to read them because Jews and Christians would have corrupted the text or the meaning of these Scriptures (</w:t>
      </w:r>
      <w:r w:rsidR="006C581F">
        <w:rPr>
          <w:i/>
        </w:rPr>
        <w:t>tahrīf</w:t>
      </w:r>
      <w:r w:rsidR="006C581F">
        <w:t xml:space="preserve">). </w:t>
      </w:r>
    </w:p>
    <w:p w:rsidR="002F0883" w:rsidRDefault="006C581F" w:rsidP="00C4619D">
      <w:pPr>
        <w:pStyle w:val="NoSpacing"/>
        <w:ind w:firstLine="0"/>
      </w:pPr>
      <w:r>
        <w:tab/>
        <w:t>I do apologize when this all sounds rather abstract, but I do want to make clear what exactly we are comparing when we talk about Muhammad and Jesus as prophets according to Muslims and Christians. We are comparing Muhammad and Jesus in their functions as models of a life according to God’s guidance, and as interpreters of God’s revelation. But here is the difference: whi</w:t>
      </w:r>
      <w:r w:rsidR="00EE682F">
        <w:t xml:space="preserve">le it is clear that Muhammad functions as model of a life according to the guidance of the Qur’ān, it now hopefully has become clear that Jesus (as a human being) functions as model of a life according to the guidance of the </w:t>
      </w:r>
      <w:r w:rsidR="00EE682F">
        <w:rPr>
          <w:i/>
        </w:rPr>
        <w:t xml:space="preserve">Torah </w:t>
      </w:r>
      <w:r w:rsidR="00EE682F">
        <w:t xml:space="preserve">(or </w:t>
      </w:r>
      <w:r w:rsidR="00EE682F">
        <w:rPr>
          <w:i/>
        </w:rPr>
        <w:t xml:space="preserve">Taurat, </w:t>
      </w:r>
      <w:r w:rsidR="00EE682F">
        <w:t xml:space="preserve">if you will) and NOT the guidance of the New Testament (or </w:t>
      </w:r>
      <w:r w:rsidR="00EE682F">
        <w:rPr>
          <w:i/>
        </w:rPr>
        <w:t xml:space="preserve">Injīl, </w:t>
      </w:r>
      <w:r w:rsidR="00EE682F">
        <w:t xml:space="preserve">if you will). In fact, the New Testament contains the stories about how Jesus lived his life according to the guidance of the </w:t>
      </w:r>
      <w:r w:rsidR="00EE682F">
        <w:rPr>
          <w:i/>
        </w:rPr>
        <w:t xml:space="preserve">Torah, </w:t>
      </w:r>
      <w:r w:rsidR="00EE682F">
        <w:t xml:space="preserve">and how he interpreted this </w:t>
      </w:r>
      <w:r w:rsidR="00EE682F">
        <w:rPr>
          <w:i/>
        </w:rPr>
        <w:t xml:space="preserve">Torah </w:t>
      </w:r>
      <w:r w:rsidR="00EE682F">
        <w:t xml:space="preserve">in a special way, in a similar way as we have in the </w:t>
      </w:r>
      <w:r w:rsidR="002F0883">
        <w:rPr>
          <w:i/>
        </w:rPr>
        <w:t xml:space="preserve">hadith </w:t>
      </w:r>
      <w:r w:rsidR="002F0883">
        <w:t xml:space="preserve">literature the stories about how Prophet Muhammad established the </w:t>
      </w:r>
      <w:r w:rsidR="002F0883">
        <w:rPr>
          <w:i/>
        </w:rPr>
        <w:t xml:space="preserve">Sunna </w:t>
      </w:r>
      <w:r w:rsidR="002F0883">
        <w:t xml:space="preserve">or customary way to live a life in accordance with the Qur’an. So, the interesting thing is that when we want to compare Jesus with Muhammad as models of life and interpreters of Scripture, we have to go back to the Jewish Jesus. </w:t>
      </w:r>
    </w:p>
    <w:p w:rsidR="006C581F" w:rsidRDefault="00EE682F" w:rsidP="002F0883">
      <w:pPr>
        <w:pStyle w:val="Heading1"/>
      </w:pPr>
      <w:r>
        <w:t xml:space="preserve"> </w:t>
      </w:r>
      <w:r w:rsidR="002F0883">
        <w:t>Said Nursi about Prophet Muhammad as interpreter of Scripture</w:t>
      </w:r>
    </w:p>
    <w:p w:rsidR="002F0883" w:rsidRDefault="002F0883" w:rsidP="002F0883"/>
    <w:p w:rsidR="002F0883" w:rsidRPr="002F0883" w:rsidRDefault="00AB2583" w:rsidP="00AB2583">
      <w:pPr>
        <w:pStyle w:val="NoSpacing"/>
      </w:pPr>
      <w:r>
        <w:t xml:space="preserve">In the context of this paper I cannot give an exhaustive analysis </w:t>
      </w:r>
      <w:r w:rsidR="0009115D">
        <w:t>of</w:t>
      </w:r>
      <w:r>
        <w:t xml:space="preserve"> what Said Nursi (1877-1960) has to say about </w:t>
      </w:r>
      <w:r w:rsidR="0009115D">
        <w:t xml:space="preserve">the relation between </w:t>
      </w:r>
    </w:p>
    <w:p w:rsidR="003350DA" w:rsidRDefault="0009115D" w:rsidP="00C4619D">
      <w:pPr>
        <w:pStyle w:val="NoSpacing"/>
        <w:ind w:firstLine="0"/>
      </w:pPr>
      <w:r>
        <w:t xml:space="preserve">Prophet Muhammad and the Qur’ān because Said Nursi talks about that on practically every page of his </w:t>
      </w:r>
      <w:r>
        <w:rPr>
          <w:i/>
        </w:rPr>
        <w:t xml:space="preserve">Risale-i Nur. </w:t>
      </w:r>
      <w:r>
        <w:t xml:space="preserve">After all, the entire Risale can be understood as a topical commentary on the Qur’ān and the role of prophethood is of course one of its major themes – next to the unity of God, the hereafter, and the theme of justice. A search on the words “interpreter” or “expounder”, both possible translations of the Arabic and Turkish words </w:t>
      </w:r>
      <w:r>
        <w:rPr>
          <w:i/>
        </w:rPr>
        <w:t xml:space="preserve">tafsir </w:t>
      </w:r>
      <w:r>
        <w:t xml:space="preserve">and </w:t>
      </w:r>
      <w:r>
        <w:rPr>
          <w:i/>
        </w:rPr>
        <w:t>tercuman</w:t>
      </w:r>
      <w:r>
        <w:t xml:space="preserve"> gives more than one hundred texts for each word, since </w:t>
      </w:r>
      <w:r w:rsidR="00B96E31">
        <w:t xml:space="preserve">the religion of Islam with the Qur’ān at its base knows </w:t>
      </w:r>
      <w:r>
        <w:t xml:space="preserve">a long </w:t>
      </w:r>
      <w:r w:rsidR="00B96E31">
        <w:t xml:space="preserve">and multi-layered </w:t>
      </w:r>
      <w:r>
        <w:t>history of interpretation</w:t>
      </w:r>
      <w:r w:rsidR="00B96E31">
        <w:t xml:space="preserve">. First of all, there is the interpretation of the Qur’ān, but there is the interpretation of Islamic Law as well, beginning with the Prophet and his most important companions, and continuing with an entire lineage of </w:t>
      </w:r>
      <w:r w:rsidR="00B96E31">
        <w:rPr>
          <w:i/>
        </w:rPr>
        <w:t xml:space="preserve">mufassirūn, </w:t>
      </w:r>
      <w:r w:rsidR="00B96E31">
        <w:t xml:space="preserve">commentators or interpreters, among whom the </w:t>
      </w:r>
      <w:r w:rsidR="00B96E31" w:rsidRPr="00B96E31">
        <w:rPr>
          <w:i/>
        </w:rPr>
        <w:t>Risale-i Nur</w:t>
      </w:r>
      <w:r w:rsidR="00B96E31">
        <w:t xml:space="preserve"> </w:t>
      </w:r>
      <w:r w:rsidR="00B96E31">
        <w:rPr>
          <w:i/>
        </w:rPr>
        <w:t xml:space="preserve"> </w:t>
      </w:r>
      <w:r w:rsidR="00B96E31">
        <w:t xml:space="preserve">itself has an important place. But in its turn, the </w:t>
      </w:r>
      <w:r w:rsidR="00B96E31">
        <w:rPr>
          <w:i/>
        </w:rPr>
        <w:t xml:space="preserve">Risale </w:t>
      </w:r>
      <w:r w:rsidR="00B96E31">
        <w:t>allows for an entire history</w:t>
      </w:r>
      <w:r w:rsidR="00D72C45">
        <w:t xml:space="preserve"> of interpretations by students and others, so that the history of interpretation of the Qur’ān is continued until the present day. </w:t>
      </w:r>
    </w:p>
    <w:p w:rsidR="00E53B18" w:rsidRDefault="00D72C45" w:rsidP="00C4619D">
      <w:pPr>
        <w:pStyle w:val="NoSpacing"/>
        <w:ind w:firstLine="0"/>
      </w:pPr>
      <w:r>
        <w:tab/>
        <w:t xml:space="preserve">Yet Prophet Muhammad is the very first of these interpreters, because he gave an interpretation of the Qur’ān that he received in his words and deeds, in his entire life. That is why the behavior of the Prophet, his </w:t>
      </w:r>
      <w:r>
        <w:rPr>
          <w:i/>
        </w:rPr>
        <w:t>Sunna,</w:t>
      </w:r>
      <w:r>
        <w:t xml:space="preserve"> and the stories about this behavior of the Prophet, the </w:t>
      </w:r>
      <w:r>
        <w:rPr>
          <w:i/>
        </w:rPr>
        <w:t xml:space="preserve">hadith </w:t>
      </w:r>
      <w:r>
        <w:t xml:space="preserve">literature, form the normative interpretation of the Qur’ān: just like in Catholic Christianity, the source of revelation is intimately connected with a normative tradition of explaining this source. My friend Salih Sayilgan has explained this in his paper for this conference, so I do not need to </w:t>
      </w:r>
      <w:r w:rsidR="00E53B18">
        <w:t>go into details here. Therefore, let us discuss some of Said Nursi’s texts in which he speaks about Prophet Muhammad as interpreter of the Qur’ān, and see what exactly he says about it. After that, we will compare that with some texts from the Christian perspective.</w:t>
      </w:r>
    </w:p>
    <w:p w:rsidR="00D72C45" w:rsidRDefault="00E53B18" w:rsidP="00E53B18">
      <w:pPr>
        <w:pStyle w:val="NoSpacing"/>
      </w:pPr>
      <w:r>
        <w:t>One of the first texts about the prophethood of Muhammad is Said Nursi’s commentary,</w:t>
      </w:r>
      <w:r w:rsidR="00B86C52">
        <w:t xml:space="preserve"> first published in 1918,</w:t>
      </w:r>
      <w:r>
        <w:t xml:space="preserve"> in the </w:t>
      </w:r>
      <w:r>
        <w:rPr>
          <w:i/>
        </w:rPr>
        <w:t>Ishārāt al-I‘jāz</w:t>
      </w:r>
      <w:r>
        <w:t xml:space="preserve"> in Arabic – or </w:t>
      </w:r>
      <w:r>
        <w:rPr>
          <w:i/>
        </w:rPr>
        <w:t xml:space="preserve">Signs of Miraculousness </w:t>
      </w:r>
      <w:r>
        <w:t>in English, when he dis</w:t>
      </w:r>
      <w:r w:rsidR="00B86C52">
        <w:t>cusses the second surah, verse 23: “If you are in doubt as to what We have revealed, step by step, to Our servant, then produce a Sign like thereunto; and call your witnesses besides Allah, if what you say is true.”</w:t>
      </w:r>
      <w:r w:rsidR="00B86C52">
        <w:rPr>
          <w:rStyle w:val="FootnoteReference"/>
        </w:rPr>
        <w:footnoteReference w:id="1"/>
      </w:r>
      <w:r w:rsidR="00282C2B">
        <w:t xml:space="preserve"> Said Nursi begins his commentary by remarking</w:t>
      </w:r>
      <w:r w:rsidR="007E597A">
        <w:t xml:space="preserve"> that thus verse serves to prove the prophethood of Muhammad by pointing to the greatest of the miracles associated with him, viz. the inimitability (</w:t>
      </w:r>
      <w:r w:rsidR="007E597A">
        <w:rPr>
          <w:i/>
        </w:rPr>
        <w:t>i‘jāz</w:t>
      </w:r>
      <w:r w:rsidR="007E597A">
        <w:t xml:space="preserve">) of the Qur’ān. In the debates between religions about the marks of prophethood, for instance between Judaism and Islam, miracles have always been an important feature. But, as Said Nursi remarks, Prophet Muhammad’s actions did not need to be wondrous in order to point out his truthfulness and his justice. So, all of his actions </w:t>
      </w:r>
      <w:r w:rsidR="004D0B01">
        <w:t>serve to show his justice and fairness, and therefore his entire conduct is proof of the truth of his prophethood.</w:t>
      </w:r>
      <w:r w:rsidR="004D0B01">
        <w:rPr>
          <w:rStyle w:val="FootnoteReference"/>
        </w:rPr>
        <w:footnoteReference w:id="2"/>
      </w:r>
      <w:r w:rsidR="004D0B01">
        <w:t xml:space="preserve"> This can be summarized by saying that the stories relating to this conduct of the prophet, the </w:t>
      </w:r>
      <w:r w:rsidR="004D0B01">
        <w:rPr>
          <w:i/>
        </w:rPr>
        <w:t xml:space="preserve">hadith, </w:t>
      </w:r>
      <w:r w:rsidR="004D0B01">
        <w:t>can be seen as expositions or interpretations of the Qur’ān.</w:t>
      </w:r>
      <w:r w:rsidR="004D0B01">
        <w:rPr>
          <w:rStyle w:val="FootnoteReference"/>
        </w:rPr>
        <w:footnoteReference w:id="3"/>
      </w:r>
    </w:p>
    <w:p w:rsidR="00FF7805" w:rsidRDefault="00512C86" w:rsidP="00E53B18">
      <w:pPr>
        <w:pStyle w:val="NoSpacing"/>
      </w:pPr>
      <w:r>
        <w:t xml:space="preserve">In his nineteenth Letter, </w:t>
      </w:r>
      <w:r w:rsidR="00395E40">
        <w:t xml:space="preserve">a long treatise </w:t>
      </w:r>
      <w:r w:rsidR="00FF7805">
        <w:t xml:space="preserve">dedicated to the miracles of Muhammad, </w:t>
      </w:r>
      <w:r>
        <w:t xml:space="preserve">Said Nursi explains this relation between the Qur’ān and prophet Muhammad a bit further by saying the following: </w:t>
      </w:r>
    </w:p>
    <w:p w:rsidR="00512C86" w:rsidRDefault="00512C86" w:rsidP="00E53B18">
      <w:pPr>
        <w:pStyle w:val="NoSpacing"/>
      </w:pPr>
      <w:r>
        <w:t>“God’s Most Noble Messenger (Upon whom be blessings and peace) was a human being; hence he acted like a human being. He was also a messenger and prophet, and with regard to his messengership, he was an interpreter and an envoy of Almighty God. Hi</w:t>
      </w:r>
      <w:r w:rsidR="00395E40">
        <w:t>s messengership was based upon R</w:t>
      </w:r>
      <w:r>
        <w:t>evelation (</w:t>
      </w:r>
      <w:r>
        <w:rPr>
          <w:i/>
        </w:rPr>
        <w:t>vahy</w:t>
      </w:r>
      <w:r>
        <w:t xml:space="preserve">) which is of two kinds. </w:t>
      </w:r>
      <w:r w:rsidRPr="00395E40">
        <w:rPr>
          <w:b/>
        </w:rPr>
        <w:t>The first</w:t>
      </w:r>
      <w:r>
        <w:t xml:space="preserve"> is explicit revelation. In this case, the Noble Messenger (Upon whom be blessings and peace) is merely an interpreter and announcer, with no share in the content. </w:t>
      </w:r>
      <w:r w:rsidR="00FF7805">
        <w:t>The Qur’an and some sacred Hadith (</w:t>
      </w:r>
      <w:r w:rsidR="00FF7805">
        <w:rPr>
          <w:i/>
        </w:rPr>
        <w:t>Hadith Qudsi</w:t>
      </w:r>
      <w:r w:rsidR="00395E40">
        <w:t>) are included in this kind of R</w:t>
      </w:r>
      <w:r w:rsidR="00FF7805">
        <w:t xml:space="preserve">evelation. </w:t>
      </w:r>
      <w:r w:rsidR="00FF7805" w:rsidRPr="00395E40">
        <w:rPr>
          <w:b/>
        </w:rPr>
        <w:t>The second</w:t>
      </w:r>
      <w:r w:rsidR="00FF7805">
        <w:t xml:space="preserve"> is implicit </w:t>
      </w:r>
      <w:r w:rsidR="00395E40">
        <w:t>revelation. The essence and summary of this is also based on R</w:t>
      </w:r>
      <w:r w:rsidR="00FF7805">
        <w:t>evelation or inspiration, but its explanation and description w</w:t>
      </w:r>
      <w:r w:rsidR="00395E40">
        <w:t>ere left to the Messenger</w:t>
      </w:r>
      <w:r w:rsidR="00FF7805">
        <w:t>. When h</w:t>
      </w:r>
      <w:r w:rsidR="00395E40">
        <w:t>e explained and described such R</w:t>
      </w:r>
      <w:r w:rsidR="00FF7805">
        <w:t>evelation</w:t>
      </w:r>
      <w:r w:rsidR="00395E40">
        <w:t>, sometimes he again relied on R</w:t>
      </w:r>
      <w:r w:rsidR="00FF7805">
        <w:t xml:space="preserve">evelation, or on inspiration, or sometimes he spoke in terms of his own insight. </w:t>
      </w:r>
      <w:r w:rsidR="00395E40">
        <w:t>And, w</w:t>
      </w:r>
      <w:r w:rsidR="00FF7805">
        <w:t>hen he resorted to his own interpretation, he either relied on the perceptive power given him on account of his prophetic mission, or he spoke as a human being and conformably to usage, custom and the level of common comprehension.”</w:t>
      </w:r>
      <w:r w:rsidR="003B5687">
        <w:rPr>
          <w:rStyle w:val="FootnoteReference"/>
        </w:rPr>
        <w:footnoteReference w:id="4"/>
      </w:r>
    </w:p>
    <w:p w:rsidR="003B5687" w:rsidRPr="004C4D4C" w:rsidRDefault="003B5687" w:rsidP="00E53B18">
      <w:pPr>
        <w:pStyle w:val="NoSpacing"/>
      </w:pPr>
      <w:r>
        <w:t xml:space="preserve">This rather long quotation tries to explain the complicated relationship between divine revelation and human interpretation in prophet Muhammad. Since God deemed him worthy to be his prophet and messenger, </w:t>
      </w:r>
      <w:r w:rsidR="00C442C2">
        <w:t xml:space="preserve">Muhammad is directly connected to God’s explicit revelation even though the content of this revelation is in no way Muhammad’s. So he is the interpreter and the announcer of this explicit revelation, but not its origin. With respect to implicit revelation, Muhammad can be said its origin in his explanations or in his behavior, but some of it goes back to divine revelation, some of it goes back to human customs and usages. </w:t>
      </w:r>
      <w:r w:rsidR="00C04521">
        <w:t xml:space="preserve">While the explicit revelation has come to us in the Qur’ān and some </w:t>
      </w:r>
      <w:r w:rsidR="00C04521">
        <w:rPr>
          <w:i/>
        </w:rPr>
        <w:t xml:space="preserve">Hadith Qudsi </w:t>
      </w:r>
      <w:r w:rsidR="00C04521">
        <w:t xml:space="preserve">in which God is the author, the implicit revelation has been handed down to us in the many different </w:t>
      </w:r>
      <w:r w:rsidR="00C04521">
        <w:rPr>
          <w:i/>
        </w:rPr>
        <w:t xml:space="preserve">hadith </w:t>
      </w:r>
      <w:r w:rsidR="00C04521">
        <w:t xml:space="preserve">that together form the </w:t>
      </w:r>
      <w:r w:rsidR="00C04521">
        <w:rPr>
          <w:i/>
        </w:rPr>
        <w:t xml:space="preserve">Sunna </w:t>
      </w:r>
      <w:r w:rsidR="00C04521">
        <w:t>of the Prophet. I will try to unpack this interplay between divine revelation and human interpretation in the prophethood of Muhammad by discussing a few texts in which Said Nursi talks about this interplay. As an outside observer of Islam, I have the tendency to speak about a tension between interpretations of revelation that try to minimize the role of prophet Muhammad by saying that he did not contribute anything to explicit reve</w:t>
      </w:r>
      <w:r w:rsidR="004C4D4C">
        <w:t xml:space="preserve">lation since he was an </w:t>
      </w:r>
      <w:r w:rsidR="004C4D4C">
        <w:rPr>
          <w:i/>
        </w:rPr>
        <w:t xml:space="preserve">ummī, </w:t>
      </w:r>
      <w:r w:rsidR="004C4D4C">
        <w:t xml:space="preserve">someone who was not among the “People of the Scripture” and therefore not knowledgeable about the earlier revelations. On the other hand, many texts about Prophet Muhammad, like many texts in the </w:t>
      </w:r>
      <w:r w:rsidR="004C4D4C">
        <w:rPr>
          <w:i/>
        </w:rPr>
        <w:t>Risale-i Nur</w:t>
      </w:r>
      <w:r w:rsidR="004C4D4C">
        <w:t xml:space="preserve">, tell us about the excellence of the Prophet, and therefore tend to maximize his role as the normative foundation for the </w:t>
      </w:r>
      <w:r w:rsidR="004C4D4C">
        <w:rPr>
          <w:i/>
        </w:rPr>
        <w:t xml:space="preserve">Sunna </w:t>
      </w:r>
      <w:r w:rsidR="004C4D4C">
        <w:t xml:space="preserve">of Islam. But I am well aware that most Sunni Muslims – like my Turkish friends in the </w:t>
      </w:r>
      <w:r w:rsidR="004C4D4C">
        <w:rPr>
          <w:i/>
        </w:rPr>
        <w:t xml:space="preserve">cemat </w:t>
      </w:r>
      <w:r w:rsidR="004C4D4C">
        <w:t>– do not see any tension here, so I must qualify my words by saying that it is based on my very imperfect understanding of the role of Prophet Muhammad in Islam.</w:t>
      </w:r>
      <w:r w:rsidR="004C4D4C">
        <w:rPr>
          <w:rStyle w:val="FootnoteReference"/>
        </w:rPr>
        <w:footnoteReference w:id="5"/>
      </w:r>
      <w:r w:rsidR="004C4D4C">
        <w:t xml:space="preserve"> </w:t>
      </w:r>
    </w:p>
    <w:p w:rsidR="001371B5" w:rsidRDefault="00B83B5D" w:rsidP="00E53B18">
      <w:pPr>
        <w:pStyle w:val="NoSpacing"/>
      </w:pPr>
      <w:r>
        <w:t>In the fifth Ray</w:t>
      </w:r>
      <w:r w:rsidR="00B80689">
        <w:t>, Said Nursi discusses some allegorical verses of the Qur’ān and some Hadiths about the events of the end of time. He says that statements such as these cannot be expounded but have to be interpreted since they contain hidden truths that cannot be understood by everyone. Again, we see how the Prophet functions as</w:t>
      </w:r>
      <w:r w:rsidR="00271B21">
        <w:t xml:space="preserve"> interpreter of what needs to be interpreted in the Qur’ān as follows: “Some of the matters of the Unseen, outside the realm of man’s perception, that were made known to the Prophet (PBUH) were made known in detail. These he could in no way alter or interfere with, like the incontestable verses of the Qur’an and ‘Sacred’ Hadiths. Others, employing his eloquence, he would illustrate and explain in detail or in allegorical form suitably to the wisdom of man’s accountability.”</w:t>
      </w:r>
      <w:r w:rsidR="00271B21">
        <w:rPr>
          <w:rStyle w:val="FootnoteReference"/>
        </w:rPr>
        <w:footnoteReference w:id="6"/>
      </w:r>
      <w:r w:rsidR="003D2E4F">
        <w:t xml:space="preserve"> So, different matters of faith have been revealed differently, some of it in details, but some of it without details. Since our human faith needs some more guidance concerning the afterlife – since this is one of the most important core messages of the Qur’an – Prophet Muhammad did give this guidance through interpretation. This is the conclusion that Said Nursi draws on this matter: “[S]ince the wisdom in man’s accountability necessitates that the questions included among the tenets </w:t>
      </w:r>
      <w:r w:rsidR="00984554">
        <w:t>of belief and communicated explicitly and repeatedly, the Qur’an of Miraculous Exposition and its Glorious Interpreter (Peace and blessing be upon him) tell of the matters of the hereafter in detail, and of future worldly events only in summary fashion.”</w:t>
      </w:r>
      <w:r w:rsidR="00984554">
        <w:rPr>
          <w:rStyle w:val="FootnoteReference"/>
        </w:rPr>
        <w:footnoteReference w:id="7"/>
      </w:r>
    </w:p>
    <w:p w:rsidR="00B83B5D" w:rsidRDefault="00B83B5D" w:rsidP="00E53B18">
      <w:pPr>
        <w:pStyle w:val="NoSpacing"/>
      </w:pPr>
      <w:r>
        <w:t xml:space="preserve">Finally, </w:t>
      </w:r>
      <w:r w:rsidR="00984554">
        <w:t xml:space="preserve">in </w:t>
      </w:r>
      <w:r>
        <w:t xml:space="preserve">the twenty-fifth Word </w:t>
      </w:r>
      <w:r w:rsidR="00984554">
        <w:t xml:space="preserve">about the miraculousness of the Qur’an, Nursi </w:t>
      </w:r>
      <w:r w:rsidR="00B26E81">
        <w:t>strongly connects the Qur’an with prophet Muhammad as its interpreter, and shows how this confirms the truth of God’s revelation: “[T]he one who is the source of Islam and interpreter of the Qur’an – his believing in it and holding it in greater respect than everyone else, and being in a sleep-like state when it was revealed, and other words and speeches not resembling or coming near it</w:t>
      </w:r>
      <w:r w:rsidR="00432400">
        <w:t>, and that Interpreter’s describing without hesitation and with complete confidence through the Qur’an true cosmic events of generally the past and the future from behind the veil of the Unseen, and no trickery or fault being observed in him while being under the gazes of the sharpest eyes, and his believing and affirming every pronouncement of the of the Qur’an with all his strength and nothing shaking him, is a stamp confirming that the Qur’an is revealed and true and the blessed Word of his own Compassionate Creator.”</w:t>
      </w:r>
      <w:r w:rsidR="00432400">
        <w:rPr>
          <w:rStyle w:val="FootnoteReference"/>
        </w:rPr>
        <w:footnoteReference w:id="8"/>
      </w:r>
      <w:r w:rsidR="00432400">
        <w:t xml:space="preserve"> </w:t>
      </w:r>
    </w:p>
    <w:p w:rsidR="00432400" w:rsidRDefault="00432400" w:rsidP="00E53B18">
      <w:pPr>
        <w:pStyle w:val="NoSpacing"/>
      </w:pPr>
      <w:r>
        <w:t xml:space="preserve">Again, we see that two things are affirmed at the same time: on the one hand, the Prophet is passive, </w:t>
      </w:r>
      <w:r w:rsidR="00C60195">
        <w:t xml:space="preserve">in a sleep-like condition, so as to add nothing to what was revealed to him. On the other hand, he is totally convinced of the truth of the revelation, and he is its most reliable interpreter, both in his words and in his deeds. He has special knowledge – “from behind the veil of the Unseen” – but at the same time as a human being his words are totally different from the words of revelation. It is on this point, I think that Said Nursi sketches in an admirable fashion both the greatness of the Prophet and his fundamental submissiveness to God’s revelation. Human words </w:t>
      </w:r>
      <w:r w:rsidR="00F61509">
        <w:t xml:space="preserve">can function as interpretation and explanation of revelation, but never replace the very words of revelation. Yet, since the Prophet is closest of all human beings to this special knowledge that is conveyed in the Qur’an, his interpretation – handed down as </w:t>
      </w:r>
      <w:r w:rsidR="00F61509">
        <w:rPr>
          <w:i/>
        </w:rPr>
        <w:t xml:space="preserve">Hadith </w:t>
      </w:r>
      <w:r w:rsidR="00F61509">
        <w:t xml:space="preserve">and </w:t>
      </w:r>
      <w:r w:rsidR="00F61509">
        <w:rPr>
          <w:i/>
        </w:rPr>
        <w:t xml:space="preserve">Sunna </w:t>
      </w:r>
      <w:r w:rsidR="00F61509">
        <w:t>of the Prophet – serves as model for all Muslims.</w:t>
      </w:r>
      <w:r w:rsidR="003E62CD">
        <w:t xml:space="preserve"> That is why Said Nursi calls Prophet Muhammad very often “the supreme guide and the most perfect teacher.”</w:t>
      </w:r>
      <w:r w:rsidR="003E62CD">
        <w:rPr>
          <w:rStyle w:val="FootnoteReference"/>
        </w:rPr>
        <w:footnoteReference w:id="9"/>
      </w:r>
      <w:r w:rsidR="003E62CD">
        <w:t xml:space="preserve"> </w:t>
      </w:r>
      <w:r w:rsidR="00F61509">
        <w:t xml:space="preserve">We will see that Jesus functions as Prophet for Christians as well – in a very similar way but at the same time in a very different way. </w:t>
      </w:r>
    </w:p>
    <w:p w:rsidR="00F61509" w:rsidRDefault="00F61509" w:rsidP="00F61509">
      <w:pPr>
        <w:pStyle w:val="Heading1"/>
      </w:pPr>
      <w:r>
        <w:t>Jesus Christ as Interpreter of Scripture</w:t>
      </w:r>
    </w:p>
    <w:p w:rsidR="00F213DE" w:rsidRDefault="00F213DE" w:rsidP="00C4619D">
      <w:pPr>
        <w:pStyle w:val="NoSpacing"/>
        <w:ind w:firstLine="0"/>
      </w:pPr>
    </w:p>
    <w:p w:rsidR="002F0883" w:rsidRDefault="00663A6A" w:rsidP="00C4619D">
      <w:pPr>
        <w:pStyle w:val="NoSpacing"/>
        <w:ind w:firstLine="0"/>
      </w:pPr>
      <w:r>
        <w:t>As I said in the beginning of this contribution, I think that it is possible to compare prophets Muhammad and Jesus as interpreters of the Scriptures, but if we want to do justice to the Christian interpretation of Jesus – in other words if we really want to do interreligious or comparative theology</w:t>
      </w:r>
      <w:r w:rsidR="00F213DE">
        <w:t xml:space="preserve"> </w:t>
      </w:r>
      <w:r>
        <w:t>and not just two prophets according to Islam – then we come to the somewhat surprising conclusion that we have to include the Hebrew Bible, because Jesus is not the interpreter of the Gospel which has been written after his death and resurrection, but the interpreter of the Jewish scriptures. This is what the New Testament tells us: Jesus does not interpret the Gospel but the Scriptures of his own Jewish faith.</w:t>
      </w:r>
    </w:p>
    <w:p w:rsidR="00663A6A" w:rsidRDefault="00663A6A" w:rsidP="00C4619D">
      <w:pPr>
        <w:pStyle w:val="NoSpacing"/>
        <w:ind w:firstLine="0"/>
      </w:pPr>
      <w:r>
        <w:tab/>
        <w:t xml:space="preserve">This becomes most explicitly clear in one of the appearance stories in the Gospel according to Luke, where Jesus appears to two of his disciples who had hoped that He would be the Savior of Israel, but they go away disappointed. When Jesus asks them what has happened, they give the following summary of their expectations of Jesus as prophet: “The things that happened to Jesus the Nazarene, who was a prophet mighty in deed and word before God and all the people, how our chief priests and rulers both handed him over to a sentence of death and crucified him. But we were hoping that he would be the one to redeem Israel; and besides all this, it is now the third day </w:t>
      </w:r>
      <w:r w:rsidR="00CB21C5">
        <w:t>since this took place. Some women from our group, however, have astounded us: they were at the tomb early in the morning and did not find his body; they came back and reported that they had indeed seen a vision of angels who announced that he was alive. Then some of those with us went to the tomb and found things just as the women had described, but him they did not see.”</w:t>
      </w:r>
      <w:r w:rsidR="00CB21C5">
        <w:rPr>
          <w:rStyle w:val="FootnoteReference"/>
        </w:rPr>
        <w:footnoteReference w:id="10"/>
      </w:r>
      <w:r w:rsidR="00CB21C5">
        <w:t xml:space="preserve"> This is the summary that these two disciples give according to Luke, and it shows their Jewish faith: Jesus was hoped for as the future Messiah, a prophet mighty in word and deed, the one who would save Israel, probably by a political revolution against the Romans. But instead, his revolution failed and </w:t>
      </w:r>
      <w:r w:rsidR="00C05958">
        <w:t>the religious and political leaders killed him. The third day, the decisive day of possible resurrection, has now passed and even though some women told about angels who announced that he was alive, the male disciples could not endorse their testimony and therefore it was, according to Jewish law, worthless. The disciples do not believe the women, but Jesus sharply rebukes them because of their unbelief: “Oh, how foolish you are! How slow of heart to believe all that the prophets spoke! Was it not necessary that the Messiah should suffer these things and enter into his glory?”</w:t>
      </w:r>
      <w:r w:rsidR="00C05958">
        <w:rPr>
          <w:rStyle w:val="FootnoteReference"/>
        </w:rPr>
        <w:footnoteReference w:id="11"/>
      </w:r>
      <w:r w:rsidR="00EC57E2">
        <w:t xml:space="preserve"> So Jesus tells them that they failed to understand the Jewish prophets and their words about the coming Messiah: it was necessary – </w:t>
      </w:r>
      <w:r w:rsidR="00EC57E2">
        <w:rPr>
          <w:i/>
        </w:rPr>
        <w:t xml:space="preserve">dei </w:t>
      </w:r>
      <w:r w:rsidR="00EC57E2">
        <w:t>in Greek, a famous word in Luke that indicates the plan of God for human salvation – that the Messiah suffer and rise again. Luke adds: “Then beginning with Moses and all the prophets, he interpreted to them what referred to him in all the scriptures.” And the disciples later respond: “Were not our hearts burning within us while he spoke to us on the way and opened the scriptures to us?”</w:t>
      </w:r>
      <w:r w:rsidR="00EC57E2">
        <w:rPr>
          <w:rStyle w:val="FootnoteReference"/>
        </w:rPr>
        <w:footnoteReference w:id="12"/>
      </w:r>
      <w:r w:rsidR="00EC57E2">
        <w:t xml:space="preserve"> So Jesus is the prophet who interprets the earlier prophets</w:t>
      </w:r>
      <w:r w:rsidR="00DC43A3">
        <w:t xml:space="preserve"> as referring to Himself, which again shows us the intriguing parallel between Jesus and the Qur’an as a scripture that explains and confirms earlier scriptures, and moreover supposes references to a later prophet, in this case Muhammad. We could say that Jesus begins with the Jewish faith of the disciples, beginning with Moses and the prophets, and shows them a hitherto unexplored new direction of this faith. This is of course the beginning of the Christological interpretation of the Old Testament that gave rise to so many problems between Christians and Jews in later history: two rival interpretations of the same Scripture, one of them insisting that the other does not read well enough what God meant to indicate about his saving plan in these Scriptures. But the important point here is that it is the Jewish scriptures that </w:t>
      </w:r>
      <w:r w:rsidR="00433239">
        <w:t>get this new interpretation.</w:t>
      </w:r>
    </w:p>
    <w:p w:rsidR="00433239" w:rsidRDefault="00433239" w:rsidP="00C4619D">
      <w:pPr>
        <w:pStyle w:val="NoSpacing"/>
        <w:ind w:firstLine="0"/>
      </w:pPr>
      <w:r>
        <w:t>Maybe the most famous place where the hermeneutical principle of this new interpretation is explained by Jesus, is his Sermon on the Mount according to Matthew’s gospel. Here the new interpretation refers not so much to the Prophets, the second part of the Hebrew Bible, but to the Torah or Law, the first part of the Bible. The refrain is well-known: “You have heard that it was said … (do not commit adultery) … but I say to you…. (do not even look at a woman with lust in your eye)”</w:t>
      </w:r>
      <w:r w:rsidR="00400E75">
        <w:t xml:space="preserve"> </w:t>
      </w:r>
      <w:r>
        <w:t xml:space="preserve">As you know, Jesus’ solution is much more radical as the </w:t>
      </w:r>
      <w:r>
        <w:rPr>
          <w:i/>
        </w:rPr>
        <w:t xml:space="preserve">hijab: </w:t>
      </w:r>
      <w:r w:rsidR="00400E75">
        <w:t>“If your right eye causes you to sin, tear it out and throw it away.”</w:t>
      </w:r>
      <w:r w:rsidR="00400E75">
        <w:rPr>
          <w:rStyle w:val="FootnoteReference"/>
        </w:rPr>
        <w:footnoteReference w:id="13"/>
      </w:r>
      <w:r w:rsidR="00400E75">
        <w:t xml:space="preserve"> Now Christians have often interpreted this in a subordinationist way, as if the old interpretation is no longer valid now that Jesus has given his new interpretation. Thanks to the improvement in Christian-Jewish relations, we now would rather say that he radicalizes the Law. Nevertheless, he does so with an authority (“but </w:t>
      </w:r>
      <w:r w:rsidR="00400E75">
        <w:rPr>
          <w:i/>
        </w:rPr>
        <w:t xml:space="preserve">I say </w:t>
      </w:r>
      <w:r w:rsidR="00400E75">
        <w:t xml:space="preserve">to you…”) that is unusual. This apparently did not escape the listeners, and so Matthew concludes </w:t>
      </w:r>
      <w:r w:rsidR="00666F1F">
        <w:t xml:space="preserve">his description of </w:t>
      </w:r>
      <w:r w:rsidR="00400E75">
        <w:t>the Sermon on the mount saying: “</w:t>
      </w:r>
      <w:r w:rsidR="00666F1F">
        <w:t>When Jesus finished these words, the crowds were astonished at his teaching, for he taught them as one having authority, and not as their scribes.”</w:t>
      </w:r>
      <w:r w:rsidR="00666F1F">
        <w:rPr>
          <w:rStyle w:val="FootnoteReference"/>
        </w:rPr>
        <w:footnoteReference w:id="14"/>
      </w:r>
      <w:r w:rsidR="00666F1F">
        <w:t xml:space="preserve"> The other three authors of the four gospels give similar descriptions, and so we read in Mark that the crowds say, after Jesus has driven out an unclean spirit: “what is this? A new teaching with authority. He commands even the unclean spirits and they obey him.”</w:t>
      </w:r>
      <w:r w:rsidR="005C27E4">
        <w:rPr>
          <w:rStyle w:val="FootnoteReference"/>
        </w:rPr>
        <w:footnoteReference w:id="15"/>
      </w:r>
      <w:r w:rsidR="005C27E4">
        <w:t xml:space="preserve"> In Luke we read “they were astonished at his teaching because he spoke with authority.”</w:t>
      </w:r>
      <w:r w:rsidR="005C27E4">
        <w:rPr>
          <w:rStyle w:val="FootnoteReference"/>
        </w:rPr>
        <w:footnoteReference w:id="16"/>
      </w:r>
      <w:r w:rsidR="005C27E4">
        <w:t xml:space="preserve"> And finally in John, the guards sent by the Pharisees to arrest Jesus, come back and in reply to the question why they did not arrest him, they say: “Never before has anyone spoken like this one.”</w:t>
      </w:r>
      <w:r w:rsidR="005C27E4">
        <w:rPr>
          <w:rStyle w:val="FootnoteReference"/>
        </w:rPr>
        <w:footnoteReference w:id="17"/>
      </w:r>
      <w:r w:rsidR="001B5A56">
        <w:t xml:space="preserve"> In a number of stories, Jesus says that he is greater than one of the prophets, Jonah or Abraham.</w:t>
      </w:r>
      <w:r w:rsidR="001B5A56">
        <w:rPr>
          <w:rStyle w:val="FootnoteReference"/>
        </w:rPr>
        <w:footnoteReference w:id="18"/>
      </w:r>
    </w:p>
    <w:p w:rsidR="001B5A56" w:rsidRDefault="001B5A56" w:rsidP="00C4619D">
      <w:pPr>
        <w:pStyle w:val="NoSpacing"/>
        <w:ind w:firstLine="0"/>
      </w:pPr>
      <w:r>
        <w:tab/>
        <w:t>It is significant to note that these texts all allude to a combination of continuity and discontinuity: there is a continuity, Jesus is one of the prophets, and he teaches according to the Jewish scriptures. But at the same time, there is something new that is more than just continuity, but a new authority, a new way of speaking, and certainly a new way of acting. This new way was in fact the first indication of Christianity. Before they were called “Christians,” the first Christians were called “people of the way</w:t>
      </w:r>
      <w:r w:rsidR="00F4142F">
        <w:t>,” and they called themselves by this name as well; for instance, Paul, pleading his case before Felix, the Roman governor of Judea, says the following: “this I do admit to you, that according to the Way, which they” – his accusers – “call a sect, I worship the God of our ancestors</w:t>
      </w:r>
      <w:r w:rsidR="005733EB">
        <w:t xml:space="preserve"> and I believe everything that is in accordance with the law and written in the prophets.”</w:t>
      </w:r>
      <w:r w:rsidR="005733EB">
        <w:rPr>
          <w:rStyle w:val="FootnoteReference"/>
        </w:rPr>
        <w:footnoteReference w:id="19"/>
      </w:r>
      <w:r w:rsidR="005733EB">
        <w:t xml:space="preserve"> This speaking about the Way must sound familiar to both Jews and Muslims, because it indicates the way of fulfilling the Law – </w:t>
      </w:r>
      <w:r w:rsidR="005733EB">
        <w:rPr>
          <w:i/>
        </w:rPr>
        <w:t xml:space="preserve">Torah </w:t>
      </w:r>
      <w:r w:rsidR="005733EB">
        <w:t xml:space="preserve">for Jews, </w:t>
      </w:r>
      <w:r w:rsidR="005733EB">
        <w:rPr>
          <w:i/>
        </w:rPr>
        <w:t xml:space="preserve">Shari‘ah </w:t>
      </w:r>
      <w:r w:rsidR="005733EB">
        <w:t xml:space="preserve">for Muslims – which is called </w:t>
      </w:r>
      <w:r w:rsidR="005733EB">
        <w:rPr>
          <w:i/>
        </w:rPr>
        <w:t xml:space="preserve">halakhah </w:t>
      </w:r>
      <w:r w:rsidR="005733EB">
        <w:t xml:space="preserve">or “a way to go.” As Paul makes clear in this quotation, the first Christians saw themselves as Jews who followed a specific interpretation of the Law, the Way or </w:t>
      </w:r>
      <w:r w:rsidR="005733EB">
        <w:rPr>
          <w:i/>
        </w:rPr>
        <w:t xml:space="preserve">halakhah </w:t>
      </w:r>
      <w:r w:rsidR="005733EB">
        <w:t xml:space="preserve">of Jesus. But Jews saw this way as a break with tradition, as a sect, and therefore they persecuted the Christians. In their turn, the Christians began to speak about their way as something new, with greater authority than just another prophet, and in this manner Jesus came to be seen as more than a prophet. Most dramatically this happens in the eighth chapter of the Gospel according to John, one of the most sharply anti-Judaic passages in the New Testament, where Jesus </w:t>
      </w:r>
      <w:r w:rsidR="004D7EAF">
        <w:t>says to the Jews – reflecting the later situation of the Johannine community – that they would become free when they would follow his word. The Jews respond that they do not need to be set free since they are descendants of Abraham and have never been slaves.</w:t>
      </w:r>
      <w:r w:rsidR="004D7EAF">
        <w:rPr>
          <w:rStyle w:val="FootnoteReference"/>
        </w:rPr>
        <w:footnoteReference w:id="20"/>
      </w:r>
      <w:r w:rsidR="004D7EAF">
        <w:t xml:space="preserve"> Jesus begins to tell them that they </w:t>
      </w:r>
      <w:r w:rsidR="001E7213">
        <w:t>will not see death if they accept his word, and again the Jews answer: “Are you greater than our father Abraham who died? Or the prophets who died? Who do you make yourself out to be?”</w:t>
      </w:r>
      <w:r w:rsidR="001E7213">
        <w:rPr>
          <w:rStyle w:val="FootnoteReference"/>
        </w:rPr>
        <w:footnoteReference w:id="21"/>
      </w:r>
      <w:r w:rsidR="001E7213">
        <w:t>Jesus then answers that his glory comes from God, and than he knows God while the Jews do not know God. He even goes further and identifies himself with God by saying: “Amen, amen, I say to you, before Abraham came to be, I AM.”</w:t>
      </w:r>
      <w:r w:rsidR="001E7213">
        <w:rPr>
          <w:rStyle w:val="FootnoteReference"/>
        </w:rPr>
        <w:footnoteReference w:id="22"/>
      </w:r>
      <w:r w:rsidR="001E7213">
        <w:t xml:space="preserve"> Th</w:t>
      </w:r>
      <w:r w:rsidR="004648D4">
        <w:t>ese last words, I AM, are capitalized in Christians Bibles, because they are seen as a clear allusion to the holy name of God in the Hebrew Bible, YHWH, which means “I AM WHO AM.”</w:t>
      </w:r>
      <w:r w:rsidR="004648D4">
        <w:rPr>
          <w:rStyle w:val="FootnoteReference"/>
        </w:rPr>
        <w:footnoteReference w:id="23"/>
      </w:r>
      <w:r w:rsidR="004648D4">
        <w:t xml:space="preserve"> In reaction to this, the Jews try to throw stones at him because of this blatant blasphemy, but Jesus escapes. </w:t>
      </w:r>
    </w:p>
    <w:p w:rsidR="00180CD0" w:rsidRDefault="004648D4" w:rsidP="00C4619D">
      <w:pPr>
        <w:pStyle w:val="NoSpacing"/>
        <w:ind w:firstLine="0"/>
      </w:pPr>
      <w:r>
        <w:tab/>
        <w:t xml:space="preserve">This text in the Gospel according to John is probably the text that most clearly shows the discontinuity between Judaism and Christianity, and at the same time the difference between Jesus Christ and just a prophet. Jesus is much more, he even </w:t>
      </w:r>
      <w:r w:rsidR="00824F24">
        <w:t>identifies with God. Most Christians will shy away from such a direct identification, and they will say that this text is in fact written long after the first generation of Christians, and that it reflects a much later situation in which Christians and Jews were sharply opposed to one another. If we accept such an approach, we can say that the first Christians likely underscored the continuity with Judaism because they saw themselves as Jews and worshiped in the temple together with the Jews.</w:t>
      </w:r>
      <w:r w:rsidR="00824F24">
        <w:rPr>
          <w:rStyle w:val="FootnoteReference"/>
        </w:rPr>
        <w:footnoteReference w:id="24"/>
      </w:r>
      <w:r w:rsidR="00824F24">
        <w:t xml:space="preserve"> Yet, at the same time they had their own rituals, de</w:t>
      </w:r>
      <w:r w:rsidR="00180CD0">
        <w:t>s</w:t>
      </w:r>
      <w:r w:rsidR="00824F24">
        <w:t>cribed at the same time, such as the breaking of bread</w:t>
      </w:r>
      <w:r w:rsidR="00180CD0">
        <w:t xml:space="preserve"> and eating</w:t>
      </w:r>
      <w:r w:rsidR="00824F24">
        <w:t xml:space="preserve"> together</w:t>
      </w:r>
      <w:r w:rsidR="00180CD0">
        <w:t xml:space="preserve">. This refers to the special way of doing the Law in following Jesus. It also shows that, at this time, the Christians distinguished themselves from others by certain practices, a specific way of interpreting the Jewish law following Jesus. </w:t>
      </w:r>
    </w:p>
    <w:p w:rsidR="004648D4" w:rsidRPr="00180CD0" w:rsidRDefault="00180CD0" w:rsidP="00180CD0">
      <w:pPr>
        <w:pStyle w:val="NoSpacing"/>
      </w:pPr>
      <w:r>
        <w:t xml:space="preserve">I would like to suggest that in this respect Jesus functions as a sign of continuity with Judaism, as a prophet who explains the Jewish scriptures in a way that functions as a model for the first Christians, in much the same way as the </w:t>
      </w:r>
      <w:r>
        <w:rPr>
          <w:i/>
        </w:rPr>
        <w:t xml:space="preserve">sunnah </w:t>
      </w:r>
      <w:r>
        <w:t xml:space="preserve">of Prophet Muhammad functions as a model for the first Muslims. In that sense we can say that both prophets function similarly for their followers. But the texts that indicate the special authority of Jesus in interpreting the Scriptures in practice seem to indicate a discontinuity with Judaism – and with Islam – as well insofar as Jesus is more than a Prophet. This tendency to underline the discontinuity come to a climax in the text where Jesus says, “before Abraham was, I AM.” Even though this text is probably much later, it indicates a tendency in Christianity to accept Jesus </w:t>
      </w:r>
      <w:r w:rsidR="0078659C">
        <w:t xml:space="preserve">as </w:t>
      </w:r>
      <w:r>
        <w:t xml:space="preserve">not just a prophet or interpreter but as someone who brings </w:t>
      </w:r>
      <w:r w:rsidR="0078659C">
        <w:t>a new relationship with God since He already IS in the relationship with the one whom He calls Father. In texts such as these, from John 8, we can see how the Christian confession of the Trinity – God as Father, Son, and Spirit – begins to take shape. At the same time, the discontinuity with Judaism becomes antagonistic to such a</w:t>
      </w:r>
      <w:r w:rsidR="00CD3A7B">
        <w:t xml:space="preserve">n extent that there is a </w:t>
      </w:r>
      <w:r w:rsidR="0078659C">
        <w:t xml:space="preserve">demonizing </w:t>
      </w:r>
      <w:r w:rsidR="00CD3A7B">
        <w:t>of Judaism here.</w:t>
      </w:r>
      <w:r w:rsidR="00CD3A7B">
        <w:rPr>
          <w:rStyle w:val="FootnoteReference"/>
        </w:rPr>
        <w:footnoteReference w:id="25"/>
      </w:r>
      <w:r w:rsidR="0078659C">
        <w:t xml:space="preserve"> </w:t>
      </w:r>
    </w:p>
    <w:p w:rsidR="003E62CD" w:rsidRDefault="0089016A" w:rsidP="00C4619D">
      <w:pPr>
        <w:pStyle w:val="NoSpacing"/>
        <w:ind w:firstLine="0"/>
      </w:pPr>
      <w:r>
        <w:tab/>
        <w:t>This is not the place to engage in a deep discussion about possible parallels in the development of the relations with Jews and Christians in early Islam; suffice it to say that many scholars see a similar development from an acceptance of continuity between the three Abrahamic or monotheistic religions in the Meccan period to a more critical attitude towards Jews and Christians as “People of the Book” in the Medinan period or even later.</w:t>
      </w:r>
      <w:r>
        <w:rPr>
          <w:rStyle w:val="FootnoteReference"/>
        </w:rPr>
        <w:footnoteReference w:id="26"/>
      </w:r>
      <w:r w:rsidR="00573588">
        <w:t xml:space="preserve"> The notion of a growing development of discontinuity paired to a remaining significance of continuity, however, seems to signify the historical relationship between the three Abrahamic religions. At the same time, it is precisely the coexistence of continuities or similarities, and discontinuities or differences, that makes comparative theology possible. As so often, every comparison is based on commonalities but it dee</w:t>
      </w:r>
      <w:r w:rsidR="006B60D2">
        <w:t>pens thanks to the differences while it has a deeper level of similarity as its horizon.</w:t>
      </w:r>
      <w:r w:rsidR="006B60D2">
        <w:rPr>
          <w:rStyle w:val="FootnoteReference"/>
        </w:rPr>
        <w:footnoteReference w:id="27"/>
      </w:r>
      <w:r w:rsidR="006B60D2">
        <w:t xml:space="preserve"> The same is true for a comparison between Jesus and Muhammad as prophets for Muslims and Christians. It starts out with a superficial similarity (both can be characterized as “prophets”), develops a deeper dissimilarity (Jesus is essentially not a prophet in the way in which Muhammad is a prophet) and se</w:t>
      </w:r>
      <w:r w:rsidR="008778BD">
        <w:t xml:space="preserve">ts out to discover a horizon of as yet undiscovered convergence: both Jesus and Muhammad function as model of behavior for those who want to follow them in their customary way of practicing the divine Law. And yet, another difference opens up in the Christian ambiguity germane to the “way of Jesus” concerning the Jewish law, while Muslims have less ambiguity about following the law given to their Prophet, but they do have ambiguity about its relationship to the revelations given to Moses and Jesus. </w:t>
      </w:r>
      <w:r w:rsidR="006E6B0D">
        <w:t>Despite these differences, at the practical level it is possible for Christians and Muslims to work together, and even to do so following in the footsteps of their prophets. It has been Said Nursi’s great merit to have indicated the way towards this working together of Muslims and Christians before anyone else in the early twentieth century.</w:t>
      </w:r>
      <w:r w:rsidR="006E6B0D">
        <w:rPr>
          <w:rStyle w:val="FootnoteReference"/>
        </w:rPr>
        <w:footnoteReference w:id="28"/>
      </w:r>
      <w:r w:rsidR="006E6B0D">
        <w:t xml:space="preserve"> </w:t>
      </w:r>
      <w:r w:rsidR="009060B6">
        <w:t xml:space="preserve">While it would be misleading to talk about him as a prophet, he certainly was an eminent interpreter of the Qur’an and in that sense he is certainly a guide and a teacher for many Muslims who want to engage in meaningful dialogue with Christians. He can </w:t>
      </w:r>
      <w:r w:rsidR="008E34AF">
        <w:t>also</w:t>
      </w:r>
      <w:r w:rsidR="009060B6">
        <w:t xml:space="preserve"> be seen as a guiding light for </w:t>
      </w:r>
      <w:r w:rsidR="008E34AF">
        <w:t>those outside Islam who are sincere in their</w:t>
      </w:r>
      <w:r w:rsidR="009060B6">
        <w:t xml:space="preserve"> search for God.</w:t>
      </w:r>
      <w:r w:rsidR="008E34AF">
        <w:t xml:space="preserve"> </w:t>
      </w:r>
      <w:r w:rsidR="009060B6">
        <w:rPr>
          <w:rStyle w:val="FootnoteReference"/>
        </w:rPr>
        <w:footnoteReference w:id="29"/>
      </w:r>
    </w:p>
    <w:p w:rsidR="00242C1E" w:rsidRPr="00BF7F47" w:rsidRDefault="00242C1E">
      <w:bookmarkStart w:id="0" w:name="_GoBack"/>
      <w:bookmarkEnd w:id="0"/>
    </w:p>
    <w:sectPr w:rsidR="00242C1E" w:rsidRPr="00BF7F47" w:rsidSect="009F5180">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4AF" w:rsidRDefault="008E34AF" w:rsidP="00C4619D">
      <w:r>
        <w:separator/>
      </w:r>
    </w:p>
  </w:endnote>
  <w:endnote w:type="continuationSeparator" w:id="0">
    <w:p w:rsidR="008E34AF" w:rsidRDefault="008E34AF" w:rsidP="00C46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AF" w:rsidRDefault="008E34AF" w:rsidP="00C461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34AF" w:rsidRDefault="008E34AF" w:rsidP="00C4619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AF" w:rsidRDefault="008E34AF" w:rsidP="00C461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5B8F">
      <w:rPr>
        <w:rStyle w:val="PageNumber"/>
        <w:noProof/>
      </w:rPr>
      <w:t>1</w:t>
    </w:r>
    <w:r>
      <w:rPr>
        <w:rStyle w:val="PageNumber"/>
      </w:rPr>
      <w:fldChar w:fldCharType="end"/>
    </w:r>
  </w:p>
  <w:p w:rsidR="008E34AF" w:rsidRDefault="008E34AF" w:rsidP="00C4619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4AF" w:rsidRDefault="008E34AF" w:rsidP="00C4619D">
      <w:r>
        <w:separator/>
      </w:r>
    </w:p>
  </w:footnote>
  <w:footnote w:type="continuationSeparator" w:id="0">
    <w:p w:rsidR="008E34AF" w:rsidRDefault="008E34AF" w:rsidP="00C4619D">
      <w:r>
        <w:continuationSeparator/>
      </w:r>
    </w:p>
  </w:footnote>
  <w:footnote w:id="1">
    <w:p w:rsidR="008E34AF" w:rsidRPr="00B86C52" w:rsidRDefault="008E34AF">
      <w:pPr>
        <w:pStyle w:val="FootnoteText"/>
      </w:pPr>
      <w:r>
        <w:rPr>
          <w:rStyle w:val="FootnoteReference"/>
        </w:rPr>
        <w:footnoteRef/>
      </w:r>
      <w:r>
        <w:t xml:space="preserve"> English translation according to Bediuzzaman Said Nursi, </w:t>
      </w:r>
      <w:r>
        <w:rPr>
          <w:i/>
        </w:rPr>
        <w:t xml:space="preserve">Signs of Miraculousness </w:t>
      </w:r>
      <w:r>
        <w:t>, Istanbul: S</w:t>
      </w:r>
      <w:r>
        <w:rPr>
          <w:rFonts w:ascii="Cambria" w:hAnsi="Cambria"/>
        </w:rPr>
        <w:t>ö</w:t>
      </w:r>
      <w:r>
        <w:t xml:space="preserve">zler, 2004, p. 181. </w:t>
      </w:r>
    </w:p>
  </w:footnote>
  <w:footnote w:id="2">
    <w:p w:rsidR="008E34AF" w:rsidRPr="004D0B01" w:rsidRDefault="008E34AF">
      <w:pPr>
        <w:pStyle w:val="FootnoteText"/>
      </w:pPr>
      <w:r>
        <w:rPr>
          <w:rStyle w:val="FootnoteReference"/>
        </w:rPr>
        <w:footnoteRef/>
      </w:r>
      <w:r>
        <w:t xml:space="preserve"> Said Nursi, </w:t>
      </w:r>
      <w:r>
        <w:rPr>
          <w:i/>
        </w:rPr>
        <w:t xml:space="preserve">Signs of Miraculousness, </w:t>
      </w:r>
      <w:r>
        <w:t xml:space="preserve">p. 182. </w:t>
      </w:r>
    </w:p>
  </w:footnote>
  <w:footnote w:id="3">
    <w:p w:rsidR="008E34AF" w:rsidRPr="004D0B01" w:rsidRDefault="008E34AF">
      <w:pPr>
        <w:pStyle w:val="FootnoteText"/>
      </w:pPr>
      <w:r>
        <w:rPr>
          <w:rStyle w:val="FootnoteReference"/>
        </w:rPr>
        <w:footnoteRef/>
      </w:r>
      <w:r>
        <w:t xml:space="preserve"> </w:t>
      </w:r>
      <w:r>
        <w:rPr>
          <w:i/>
        </w:rPr>
        <w:t xml:space="preserve">Signs of Miraculousness, </w:t>
      </w:r>
      <w:r>
        <w:t xml:space="preserve">p. 189. </w:t>
      </w:r>
    </w:p>
  </w:footnote>
  <w:footnote w:id="4">
    <w:p w:rsidR="008E34AF" w:rsidRPr="003B5687" w:rsidRDefault="008E34AF">
      <w:pPr>
        <w:pStyle w:val="FootnoteText"/>
      </w:pPr>
      <w:r>
        <w:rPr>
          <w:rStyle w:val="FootnoteReference"/>
        </w:rPr>
        <w:footnoteRef/>
      </w:r>
      <w:r>
        <w:t xml:space="preserve"> Said Nursi, </w:t>
      </w:r>
      <w:r>
        <w:rPr>
          <w:i/>
        </w:rPr>
        <w:t xml:space="preserve">The Letters </w:t>
      </w:r>
      <w:r>
        <w:t>(Istanbul: S</w:t>
      </w:r>
      <w:r>
        <w:rPr>
          <w:rFonts w:ascii="Cambria" w:hAnsi="Cambria"/>
        </w:rPr>
        <w:t>ö</w:t>
      </w:r>
      <w:r>
        <w:t xml:space="preserve">zler, 2001), p. 123. </w:t>
      </w:r>
    </w:p>
  </w:footnote>
  <w:footnote w:id="5">
    <w:p w:rsidR="008E34AF" w:rsidRPr="00B83B5D" w:rsidRDefault="008E34AF">
      <w:pPr>
        <w:pStyle w:val="FootnoteText"/>
      </w:pPr>
      <w:r>
        <w:rPr>
          <w:rStyle w:val="FootnoteReference"/>
        </w:rPr>
        <w:footnoteRef/>
      </w:r>
      <w:r>
        <w:t xml:space="preserve"> See my earlier remark that “[i]n Said Nursi’s works the Qur’</w:t>
      </w:r>
      <w:r>
        <w:rPr>
          <w:rFonts w:ascii="Cambria" w:hAnsi="Cambria"/>
        </w:rPr>
        <w:t>ā</w:t>
      </w:r>
      <w:r>
        <w:t xml:space="preserve">n and the Prophet seem to be standing on the same level,” in Pim Valkenberg, </w:t>
      </w:r>
      <w:r>
        <w:rPr>
          <w:i/>
        </w:rPr>
        <w:t>Sharing Lights on the Way to God: Muslim-Christian Dialogue and Theology in the Context of Abrahamic Partnership</w:t>
      </w:r>
      <w:r>
        <w:t xml:space="preserve"> (Amsterdam – New York: Editions Rodopi, 2006), p. 300. </w:t>
      </w:r>
    </w:p>
  </w:footnote>
  <w:footnote w:id="6">
    <w:p w:rsidR="008E34AF" w:rsidRPr="00271B21" w:rsidRDefault="008E34AF">
      <w:pPr>
        <w:pStyle w:val="FootnoteText"/>
      </w:pPr>
      <w:r>
        <w:rPr>
          <w:rStyle w:val="FootnoteReference"/>
        </w:rPr>
        <w:footnoteRef/>
      </w:r>
      <w:r>
        <w:t xml:space="preserve"> Said Nursi, </w:t>
      </w:r>
      <w:r>
        <w:rPr>
          <w:i/>
        </w:rPr>
        <w:t xml:space="preserve">The Rays </w:t>
      </w:r>
      <w:r>
        <w:t>(Istanbul: S</w:t>
      </w:r>
      <w:r>
        <w:rPr>
          <w:rFonts w:ascii="Cambria" w:hAnsi="Cambria"/>
        </w:rPr>
        <w:t>ö</w:t>
      </w:r>
      <w:r>
        <w:t xml:space="preserve">zler, 1998) p. 98. </w:t>
      </w:r>
    </w:p>
  </w:footnote>
  <w:footnote w:id="7">
    <w:p w:rsidR="008E34AF" w:rsidRPr="00984554" w:rsidRDefault="008E34AF">
      <w:pPr>
        <w:pStyle w:val="FootnoteText"/>
      </w:pPr>
      <w:r>
        <w:rPr>
          <w:rStyle w:val="FootnoteReference"/>
        </w:rPr>
        <w:footnoteRef/>
      </w:r>
      <w:r>
        <w:t xml:space="preserve"> Nursi, </w:t>
      </w:r>
      <w:r>
        <w:rPr>
          <w:i/>
        </w:rPr>
        <w:t xml:space="preserve">Rays, </w:t>
      </w:r>
      <w:r>
        <w:t xml:space="preserve">p. 100. </w:t>
      </w:r>
    </w:p>
  </w:footnote>
  <w:footnote w:id="8">
    <w:p w:rsidR="008E34AF" w:rsidRPr="00432400" w:rsidRDefault="008E34AF">
      <w:pPr>
        <w:pStyle w:val="FootnoteText"/>
      </w:pPr>
      <w:r>
        <w:rPr>
          <w:rStyle w:val="FootnoteReference"/>
        </w:rPr>
        <w:footnoteRef/>
      </w:r>
      <w:r>
        <w:t xml:space="preserve"> Said Nursi, </w:t>
      </w:r>
      <w:r>
        <w:rPr>
          <w:i/>
        </w:rPr>
        <w:t xml:space="preserve">The Words </w:t>
      </w:r>
      <w:r>
        <w:t>(Istanbul: S</w:t>
      </w:r>
      <w:r>
        <w:rPr>
          <w:rFonts w:ascii="Cambria" w:hAnsi="Cambria"/>
        </w:rPr>
        <w:t>ö</w:t>
      </w:r>
      <w:r>
        <w:t xml:space="preserve">zler, 2002) p. 462. </w:t>
      </w:r>
    </w:p>
  </w:footnote>
  <w:footnote w:id="9">
    <w:p w:rsidR="008E34AF" w:rsidRDefault="008E34AF">
      <w:pPr>
        <w:pStyle w:val="FootnoteText"/>
      </w:pPr>
      <w:r>
        <w:rPr>
          <w:rStyle w:val="FootnoteReference"/>
        </w:rPr>
        <w:footnoteRef/>
      </w:r>
      <w:r>
        <w:t xml:space="preserve"> See, for instance, Said Nursi, </w:t>
      </w:r>
      <w:r>
        <w:rPr>
          <w:i/>
        </w:rPr>
        <w:t xml:space="preserve">The Letters, </w:t>
      </w:r>
      <w:r>
        <w:t xml:space="preserve">p. 119; </w:t>
      </w:r>
      <w:r>
        <w:rPr>
          <w:i/>
        </w:rPr>
        <w:t xml:space="preserve">The Rays, </w:t>
      </w:r>
      <w:r>
        <w:t xml:space="preserve">p. 240; </w:t>
      </w:r>
      <w:r>
        <w:rPr>
          <w:i/>
        </w:rPr>
        <w:t xml:space="preserve">The Flashes, </w:t>
      </w:r>
      <w:r>
        <w:t xml:space="preserve">p. 410, 412.  </w:t>
      </w:r>
    </w:p>
  </w:footnote>
  <w:footnote w:id="10">
    <w:p w:rsidR="008E34AF" w:rsidRDefault="008E34AF">
      <w:pPr>
        <w:pStyle w:val="FootnoteText"/>
      </w:pPr>
      <w:r>
        <w:rPr>
          <w:rStyle w:val="FootnoteReference"/>
        </w:rPr>
        <w:footnoteRef/>
      </w:r>
      <w:r>
        <w:t xml:space="preserve"> Luke 24: 19-24. Translation New American Bible. </w:t>
      </w:r>
    </w:p>
  </w:footnote>
  <w:footnote w:id="11">
    <w:p w:rsidR="008E34AF" w:rsidRDefault="008E34AF">
      <w:pPr>
        <w:pStyle w:val="FootnoteText"/>
      </w:pPr>
      <w:r>
        <w:rPr>
          <w:rStyle w:val="FootnoteReference"/>
        </w:rPr>
        <w:footnoteRef/>
      </w:r>
      <w:r>
        <w:t xml:space="preserve"> Luke 24: 25-26. </w:t>
      </w:r>
    </w:p>
  </w:footnote>
  <w:footnote w:id="12">
    <w:p w:rsidR="008E34AF" w:rsidRDefault="008E34AF">
      <w:pPr>
        <w:pStyle w:val="FootnoteText"/>
      </w:pPr>
      <w:r>
        <w:rPr>
          <w:rStyle w:val="FootnoteReference"/>
        </w:rPr>
        <w:footnoteRef/>
      </w:r>
      <w:r>
        <w:t xml:space="preserve"> Luke 24: 27 and 32. </w:t>
      </w:r>
    </w:p>
  </w:footnote>
  <w:footnote w:id="13">
    <w:p w:rsidR="008E34AF" w:rsidRDefault="008E34AF">
      <w:pPr>
        <w:pStyle w:val="FootnoteText"/>
      </w:pPr>
      <w:r>
        <w:rPr>
          <w:rStyle w:val="FootnoteReference"/>
        </w:rPr>
        <w:footnoteRef/>
      </w:r>
      <w:r>
        <w:t xml:space="preserve">  Matthew 5: 27-29 </w:t>
      </w:r>
    </w:p>
  </w:footnote>
  <w:footnote w:id="14">
    <w:p w:rsidR="008E34AF" w:rsidRDefault="008E34AF">
      <w:pPr>
        <w:pStyle w:val="FootnoteText"/>
      </w:pPr>
      <w:r>
        <w:rPr>
          <w:rStyle w:val="FootnoteReference"/>
        </w:rPr>
        <w:footnoteRef/>
      </w:r>
      <w:r>
        <w:t xml:space="preserve"> Matthew 7: 28-29</w:t>
      </w:r>
    </w:p>
  </w:footnote>
  <w:footnote w:id="15">
    <w:p w:rsidR="008E34AF" w:rsidRDefault="008E34AF">
      <w:pPr>
        <w:pStyle w:val="FootnoteText"/>
      </w:pPr>
      <w:r>
        <w:rPr>
          <w:rStyle w:val="FootnoteReference"/>
        </w:rPr>
        <w:footnoteRef/>
      </w:r>
      <w:r>
        <w:t xml:space="preserve"> Mark 1: 27</w:t>
      </w:r>
    </w:p>
  </w:footnote>
  <w:footnote w:id="16">
    <w:p w:rsidR="008E34AF" w:rsidRDefault="008E34AF">
      <w:pPr>
        <w:pStyle w:val="FootnoteText"/>
      </w:pPr>
      <w:r>
        <w:rPr>
          <w:rStyle w:val="FootnoteReference"/>
        </w:rPr>
        <w:footnoteRef/>
      </w:r>
      <w:r>
        <w:t xml:space="preserve"> Luke 4:32 </w:t>
      </w:r>
    </w:p>
  </w:footnote>
  <w:footnote w:id="17">
    <w:p w:rsidR="008E34AF" w:rsidRDefault="008E34AF">
      <w:pPr>
        <w:pStyle w:val="FootnoteText"/>
      </w:pPr>
      <w:r>
        <w:rPr>
          <w:rStyle w:val="FootnoteReference"/>
        </w:rPr>
        <w:footnoteRef/>
      </w:r>
      <w:r>
        <w:t xml:space="preserve"> John 7:46 </w:t>
      </w:r>
    </w:p>
  </w:footnote>
  <w:footnote w:id="18">
    <w:p w:rsidR="008E34AF" w:rsidRDefault="008E34AF">
      <w:pPr>
        <w:pStyle w:val="FootnoteText"/>
      </w:pPr>
      <w:r>
        <w:rPr>
          <w:rStyle w:val="FootnoteReference"/>
        </w:rPr>
        <w:footnoteRef/>
      </w:r>
      <w:r>
        <w:t xml:space="preserve"> See Matthew 12:41; John 8:58. </w:t>
      </w:r>
    </w:p>
  </w:footnote>
  <w:footnote w:id="19">
    <w:p w:rsidR="008E34AF" w:rsidRDefault="008E34AF">
      <w:pPr>
        <w:pStyle w:val="FootnoteText"/>
      </w:pPr>
      <w:r>
        <w:rPr>
          <w:rStyle w:val="FootnoteReference"/>
        </w:rPr>
        <w:footnoteRef/>
      </w:r>
      <w:r>
        <w:t xml:space="preserve"> Acts of the Apostles 24:14 </w:t>
      </w:r>
    </w:p>
  </w:footnote>
  <w:footnote w:id="20">
    <w:p w:rsidR="008E34AF" w:rsidRDefault="008E34AF">
      <w:pPr>
        <w:pStyle w:val="FootnoteText"/>
      </w:pPr>
      <w:r>
        <w:rPr>
          <w:rStyle w:val="FootnoteReference"/>
        </w:rPr>
        <w:footnoteRef/>
      </w:r>
      <w:r>
        <w:t xml:space="preserve"> See John 8:31-33</w:t>
      </w:r>
    </w:p>
  </w:footnote>
  <w:footnote w:id="21">
    <w:p w:rsidR="008E34AF" w:rsidRDefault="008E34AF">
      <w:pPr>
        <w:pStyle w:val="FootnoteText"/>
      </w:pPr>
      <w:r>
        <w:rPr>
          <w:rStyle w:val="FootnoteReference"/>
        </w:rPr>
        <w:footnoteRef/>
      </w:r>
      <w:r>
        <w:t xml:space="preserve"> John 8:53</w:t>
      </w:r>
    </w:p>
  </w:footnote>
  <w:footnote w:id="22">
    <w:p w:rsidR="008E34AF" w:rsidRDefault="008E34AF">
      <w:pPr>
        <w:pStyle w:val="FootnoteText"/>
      </w:pPr>
      <w:r>
        <w:rPr>
          <w:rStyle w:val="FootnoteReference"/>
        </w:rPr>
        <w:footnoteRef/>
      </w:r>
      <w:r>
        <w:t xml:space="preserve"> John 8:58</w:t>
      </w:r>
    </w:p>
  </w:footnote>
  <w:footnote w:id="23">
    <w:p w:rsidR="008E34AF" w:rsidRDefault="008E34AF">
      <w:pPr>
        <w:pStyle w:val="FootnoteText"/>
      </w:pPr>
      <w:r>
        <w:rPr>
          <w:rStyle w:val="FootnoteReference"/>
        </w:rPr>
        <w:footnoteRef/>
      </w:r>
      <w:r>
        <w:t xml:space="preserve"> See Exodus 3:14. </w:t>
      </w:r>
    </w:p>
  </w:footnote>
  <w:footnote w:id="24">
    <w:p w:rsidR="008E34AF" w:rsidRDefault="008E34AF">
      <w:pPr>
        <w:pStyle w:val="FootnoteText"/>
      </w:pPr>
      <w:r>
        <w:rPr>
          <w:rStyle w:val="FootnoteReference"/>
        </w:rPr>
        <w:footnoteRef/>
      </w:r>
      <w:r>
        <w:t xml:space="preserve"> See, for instance, Acts 2:46 </w:t>
      </w:r>
    </w:p>
  </w:footnote>
  <w:footnote w:id="25">
    <w:p w:rsidR="008E34AF" w:rsidRDefault="008E34AF">
      <w:pPr>
        <w:pStyle w:val="FootnoteText"/>
      </w:pPr>
      <w:r>
        <w:rPr>
          <w:rStyle w:val="FootnoteReference"/>
        </w:rPr>
        <w:footnoteRef/>
      </w:r>
      <w:r>
        <w:t xml:space="preserve"> I have been made aware of the anti-Judaism in John 8 by my former colleague and New Testament scholar at Radboud University Nijmegen, Prof. Sjef van Tilborg. We have published about this in volume 21 (“Theologie en Exegese”) of the Jaarboek van het Thomas Instituut te Utrecht, published in 2001.   </w:t>
      </w:r>
    </w:p>
  </w:footnote>
  <w:footnote w:id="26">
    <w:p w:rsidR="008E34AF" w:rsidRPr="0089016A" w:rsidRDefault="008E34AF">
      <w:pPr>
        <w:pStyle w:val="FootnoteText"/>
      </w:pPr>
      <w:r>
        <w:rPr>
          <w:rStyle w:val="FootnoteReference"/>
        </w:rPr>
        <w:footnoteRef/>
      </w:r>
      <w:r>
        <w:t xml:space="preserve"> In his book </w:t>
      </w:r>
      <w:r>
        <w:rPr>
          <w:i/>
        </w:rPr>
        <w:t xml:space="preserve">Muhammad and the Believers: At the Origins of Islam </w:t>
      </w:r>
      <w:r>
        <w:t xml:space="preserve">(Cambridge and London: the Belknap Press of Harvard University Press, 2010), Fred Donner suggests that until the early Umayyad period there was no clear distinction between adherents of the three religions. </w:t>
      </w:r>
    </w:p>
  </w:footnote>
  <w:footnote w:id="27">
    <w:p w:rsidR="008E34AF" w:rsidRPr="006B60D2" w:rsidRDefault="008E34AF">
      <w:pPr>
        <w:pStyle w:val="FootnoteText"/>
        <w:rPr>
          <w:i/>
        </w:rPr>
      </w:pPr>
      <w:r>
        <w:rPr>
          <w:rStyle w:val="FootnoteReference"/>
        </w:rPr>
        <w:footnoteRef/>
      </w:r>
      <w:r>
        <w:t xml:space="preserve"> Thomas Aquinas’ famous teaching about analogy in our human language of God develops in a similar way: the </w:t>
      </w:r>
      <w:r>
        <w:rPr>
          <w:i/>
        </w:rPr>
        <w:t xml:space="preserve">triplex via </w:t>
      </w:r>
      <w:r>
        <w:t xml:space="preserve">of causality, negation, and eminence. </w:t>
      </w:r>
    </w:p>
  </w:footnote>
  <w:footnote w:id="28">
    <w:p w:rsidR="008E34AF" w:rsidRPr="006E6B0D" w:rsidRDefault="008E34AF">
      <w:pPr>
        <w:pStyle w:val="FootnoteText"/>
      </w:pPr>
      <w:r>
        <w:rPr>
          <w:rStyle w:val="FootnoteReference"/>
        </w:rPr>
        <w:footnoteRef/>
      </w:r>
      <w:r>
        <w:t xml:space="preserve"> See Thomas Michel, </w:t>
      </w:r>
      <w:r>
        <w:rPr>
          <w:i/>
        </w:rPr>
        <w:t xml:space="preserve">Reflections on Said Nursi’s Views on Muslim-Christian Understanding </w:t>
      </w:r>
      <w:r>
        <w:t>(Istanbul: S</w:t>
      </w:r>
      <w:r>
        <w:rPr>
          <w:rFonts w:ascii="Cambria" w:hAnsi="Cambria"/>
        </w:rPr>
        <w:t>ö</w:t>
      </w:r>
      <w:r>
        <w:t>z Bas</w:t>
      </w:r>
      <w:r>
        <w:rPr>
          <w:rFonts w:ascii="Cambria" w:hAnsi="Cambria"/>
        </w:rPr>
        <w:t>ı</w:t>
      </w:r>
      <w:r>
        <w:t>m Yay</w:t>
      </w:r>
      <w:r>
        <w:rPr>
          <w:rFonts w:ascii="Cambria" w:hAnsi="Cambria"/>
        </w:rPr>
        <w:t>ı</w:t>
      </w:r>
      <w:r>
        <w:t xml:space="preserve">n, 2003). </w:t>
      </w:r>
    </w:p>
  </w:footnote>
  <w:footnote w:id="29">
    <w:p w:rsidR="008E34AF" w:rsidRPr="009060B6" w:rsidRDefault="008E34AF">
      <w:pPr>
        <w:pStyle w:val="FootnoteText"/>
      </w:pPr>
      <w:r>
        <w:rPr>
          <w:rStyle w:val="FootnoteReference"/>
        </w:rPr>
        <w:footnoteRef/>
      </w:r>
      <w:r>
        <w:t xml:space="preserve"> Valkenberg, </w:t>
      </w:r>
      <w:r>
        <w:rPr>
          <w:i/>
        </w:rPr>
        <w:t xml:space="preserve">Sharing Lights on the Way to God, </w:t>
      </w:r>
      <w:r>
        <w:t xml:space="preserve">271.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A07"/>
    <w:rsid w:val="0009115D"/>
    <w:rsid w:val="00091E2A"/>
    <w:rsid w:val="000933CE"/>
    <w:rsid w:val="00096FA3"/>
    <w:rsid w:val="000A0DFF"/>
    <w:rsid w:val="001371B5"/>
    <w:rsid w:val="00180CD0"/>
    <w:rsid w:val="001A0651"/>
    <w:rsid w:val="001B5A56"/>
    <w:rsid w:val="001E7213"/>
    <w:rsid w:val="002349F3"/>
    <w:rsid w:val="00242C1E"/>
    <w:rsid w:val="00271B21"/>
    <w:rsid w:val="00282C2B"/>
    <w:rsid w:val="002B1C5F"/>
    <w:rsid w:val="002F0883"/>
    <w:rsid w:val="0032538F"/>
    <w:rsid w:val="003350DA"/>
    <w:rsid w:val="003716E3"/>
    <w:rsid w:val="00395E40"/>
    <w:rsid w:val="003B5687"/>
    <w:rsid w:val="003D2E4F"/>
    <w:rsid w:val="003E62CD"/>
    <w:rsid w:val="00400E75"/>
    <w:rsid w:val="004278A2"/>
    <w:rsid w:val="00432400"/>
    <w:rsid w:val="00433239"/>
    <w:rsid w:val="004648D4"/>
    <w:rsid w:val="004774F0"/>
    <w:rsid w:val="004C4D4C"/>
    <w:rsid w:val="004D0B01"/>
    <w:rsid w:val="004D7EAF"/>
    <w:rsid w:val="00512C86"/>
    <w:rsid w:val="0054288B"/>
    <w:rsid w:val="00555B8F"/>
    <w:rsid w:val="005733EB"/>
    <w:rsid w:val="00573588"/>
    <w:rsid w:val="005A195D"/>
    <w:rsid w:val="005C27E4"/>
    <w:rsid w:val="00663A6A"/>
    <w:rsid w:val="00666F1F"/>
    <w:rsid w:val="006B60D2"/>
    <w:rsid w:val="006C581F"/>
    <w:rsid w:val="006E6B0D"/>
    <w:rsid w:val="00733F15"/>
    <w:rsid w:val="00776158"/>
    <w:rsid w:val="0078659C"/>
    <w:rsid w:val="007D3059"/>
    <w:rsid w:val="007E597A"/>
    <w:rsid w:val="00824F24"/>
    <w:rsid w:val="008778BD"/>
    <w:rsid w:val="0089016A"/>
    <w:rsid w:val="008C3E46"/>
    <w:rsid w:val="008E34AF"/>
    <w:rsid w:val="009060B6"/>
    <w:rsid w:val="00944B5B"/>
    <w:rsid w:val="00984109"/>
    <w:rsid w:val="00984554"/>
    <w:rsid w:val="009F5180"/>
    <w:rsid w:val="00A21EEB"/>
    <w:rsid w:val="00A252E1"/>
    <w:rsid w:val="00AB2583"/>
    <w:rsid w:val="00B26E81"/>
    <w:rsid w:val="00B80689"/>
    <w:rsid w:val="00B83B5D"/>
    <w:rsid w:val="00B86C52"/>
    <w:rsid w:val="00B96E31"/>
    <w:rsid w:val="00BF7F47"/>
    <w:rsid w:val="00C04521"/>
    <w:rsid w:val="00C05958"/>
    <w:rsid w:val="00C442C2"/>
    <w:rsid w:val="00C4619D"/>
    <w:rsid w:val="00C60195"/>
    <w:rsid w:val="00CB21C5"/>
    <w:rsid w:val="00CC735E"/>
    <w:rsid w:val="00CD3A7B"/>
    <w:rsid w:val="00D72C45"/>
    <w:rsid w:val="00DC43A3"/>
    <w:rsid w:val="00E53B18"/>
    <w:rsid w:val="00E60A07"/>
    <w:rsid w:val="00E833E7"/>
    <w:rsid w:val="00EB5F2A"/>
    <w:rsid w:val="00EC57E2"/>
    <w:rsid w:val="00EE682F"/>
    <w:rsid w:val="00F213DE"/>
    <w:rsid w:val="00F2599F"/>
    <w:rsid w:val="00F4142F"/>
    <w:rsid w:val="00F61509"/>
    <w:rsid w:val="00FF78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1C5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B1C5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C5F"/>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2B1C5F"/>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B1C5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B1C5F"/>
    <w:rPr>
      <w:rFonts w:asciiTheme="majorHAnsi" w:eastAsiaTheme="majorEastAsia" w:hAnsiTheme="majorHAnsi" w:cstheme="majorBidi"/>
      <w:i/>
      <w:iCs/>
      <w:color w:val="4F81BD" w:themeColor="accent1"/>
      <w:spacing w:val="15"/>
    </w:rPr>
  </w:style>
  <w:style w:type="paragraph" w:styleId="Title">
    <w:name w:val="Title"/>
    <w:basedOn w:val="Normal"/>
    <w:next w:val="Normal"/>
    <w:link w:val="TitleChar"/>
    <w:uiPriority w:val="10"/>
    <w:qFormat/>
    <w:rsid w:val="002B1C5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1C5F"/>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2B1C5F"/>
    <w:pPr>
      <w:spacing w:line="360" w:lineRule="auto"/>
      <w:ind w:firstLine="720"/>
    </w:pPr>
    <w:rPr>
      <w:rFonts w:ascii="Arial" w:hAnsi="Arial"/>
      <w:sz w:val="28"/>
    </w:rPr>
  </w:style>
  <w:style w:type="paragraph" w:styleId="Footer">
    <w:name w:val="footer"/>
    <w:basedOn w:val="Normal"/>
    <w:link w:val="FooterChar"/>
    <w:uiPriority w:val="99"/>
    <w:unhideWhenUsed/>
    <w:rsid w:val="00C4619D"/>
    <w:pPr>
      <w:tabs>
        <w:tab w:val="center" w:pos="4320"/>
        <w:tab w:val="right" w:pos="8640"/>
      </w:tabs>
    </w:pPr>
  </w:style>
  <w:style w:type="character" w:customStyle="1" w:styleId="FooterChar">
    <w:name w:val="Footer Char"/>
    <w:basedOn w:val="DefaultParagraphFont"/>
    <w:link w:val="Footer"/>
    <w:uiPriority w:val="99"/>
    <w:rsid w:val="00C4619D"/>
  </w:style>
  <w:style w:type="character" w:styleId="PageNumber">
    <w:name w:val="page number"/>
    <w:basedOn w:val="DefaultParagraphFont"/>
    <w:uiPriority w:val="99"/>
    <w:semiHidden/>
    <w:unhideWhenUsed/>
    <w:rsid w:val="00C4619D"/>
  </w:style>
  <w:style w:type="paragraph" w:styleId="FootnoteText">
    <w:name w:val="footnote text"/>
    <w:basedOn w:val="Normal"/>
    <w:link w:val="FootnoteTextChar"/>
    <w:uiPriority w:val="99"/>
    <w:unhideWhenUsed/>
    <w:rsid w:val="00B86C52"/>
  </w:style>
  <w:style w:type="character" w:customStyle="1" w:styleId="FootnoteTextChar">
    <w:name w:val="Footnote Text Char"/>
    <w:basedOn w:val="DefaultParagraphFont"/>
    <w:link w:val="FootnoteText"/>
    <w:uiPriority w:val="99"/>
    <w:rsid w:val="00B86C52"/>
  </w:style>
  <w:style w:type="character" w:styleId="FootnoteReference">
    <w:name w:val="footnote reference"/>
    <w:basedOn w:val="DefaultParagraphFont"/>
    <w:uiPriority w:val="99"/>
    <w:unhideWhenUsed/>
    <w:rsid w:val="00B86C52"/>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B1C5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B1C5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C5F"/>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2B1C5F"/>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B1C5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B1C5F"/>
    <w:rPr>
      <w:rFonts w:asciiTheme="majorHAnsi" w:eastAsiaTheme="majorEastAsia" w:hAnsiTheme="majorHAnsi" w:cstheme="majorBidi"/>
      <w:i/>
      <w:iCs/>
      <w:color w:val="4F81BD" w:themeColor="accent1"/>
      <w:spacing w:val="15"/>
    </w:rPr>
  </w:style>
  <w:style w:type="paragraph" w:styleId="Title">
    <w:name w:val="Title"/>
    <w:basedOn w:val="Normal"/>
    <w:next w:val="Normal"/>
    <w:link w:val="TitleChar"/>
    <w:uiPriority w:val="10"/>
    <w:qFormat/>
    <w:rsid w:val="002B1C5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1C5F"/>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2B1C5F"/>
    <w:pPr>
      <w:spacing w:line="360" w:lineRule="auto"/>
      <w:ind w:firstLine="720"/>
    </w:pPr>
    <w:rPr>
      <w:rFonts w:ascii="Arial" w:hAnsi="Arial"/>
      <w:sz w:val="28"/>
    </w:rPr>
  </w:style>
  <w:style w:type="paragraph" w:styleId="Footer">
    <w:name w:val="footer"/>
    <w:basedOn w:val="Normal"/>
    <w:link w:val="FooterChar"/>
    <w:uiPriority w:val="99"/>
    <w:unhideWhenUsed/>
    <w:rsid w:val="00C4619D"/>
    <w:pPr>
      <w:tabs>
        <w:tab w:val="center" w:pos="4320"/>
        <w:tab w:val="right" w:pos="8640"/>
      </w:tabs>
    </w:pPr>
  </w:style>
  <w:style w:type="character" w:customStyle="1" w:styleId="FooterChar">
    <w:name w:val="Footer Char"/>
    <w:basedOn w:val="DefaultParagraphFont"/>
    <w:link w:val="Footer"/>
    <w:uiPriority w:val="99"/>
    <w:rsid w:val="00C4619D"/>
  </w:style>
  <w:style w:type="character" w:styleId="PageNumber">
    <w:name w:val="page number"/>
    <w:basedOn w:val="DefaultParagraphFont"/>
    <w:uiPriority w:val="99"/>
    <w:semiHidden/>
    <w:unhideWhenUsed/>
    <w:rsid w:val="00C4619D"/>
  </w:style>
  <w:style w:type="paragraph" w:styleId="FootnoteText">
    <w:name w:val="footnote text"/>
    <w:basedOn w:val="Normal"/>
    <w:link w:val="FootnoteTextChar"/>
    <w:uiPriority w:val="99"/>
    <w:unhideWhenUsed/>
    <w:rsid w:val="00B86C52"/>
  </w:style>
  <w:style w:type="character" w:customStyle="1" w:styleId="FootnoteTextChar">
    <w:name w:val="Footnote Text Char"/>
    <w:basedOn w:val="DefaultParagraphFont"/>
    <w:link w:val="FootnoteText"/>
    <w:uiPriority w:val="99"/>
    <w:rsid w:val="00B86C52"/>
  </w:style>
  <w:style w:type="character" w:styleId="FootnoteReference">
    <w:name w:val="footnote reference"/>
    <w:basedOn w:val="DefaultParagraphFont"/>
    <w:uiPriority w:val="99"/>
    <w:unhideWhenUsed/>
    <w:rsid w:val="00B86C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79D7C-BFF5-E646-A25C-E7B75AC90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4773</Words>
  <Characters>27208</Characters>
  <Application>Microsoft Macintosh Word</Application>
  <DocSecurity>0</DocSecurity>
  <Lines>226</Lines>
  <Paragraphs>63</Paragraphs>
  <ScaleCrop>false</ScaleCrop>
  <Company/>
  <LinksUpToDate>false</LinksUpToDate>
  <CharactersWithSpaces>31918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Pim Valkenberg</dc:creator>
  <cp:keywords/>
  <dc:description/>
  <cp:lastModifiedBy>Pim Valkenberg</cp:lastModifiedBy>
  <cp:revision>2</cp:revision>
  <cp:lastPrinted>2013-02-27T20:23:00Z</cp:lastPrinted>
  <dcterms:created xsi:type="dcterms:W3CDTF">2013-06-28T18:34:00Z</dcterms:created>
  <dcterms:modified xsi:type="dcterms:W3CDTF">2013-06-28T18:34:00Z</dcterms:modified>
</cp:coreProperties>
</file>