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93733" w:rsidRPr="00BD660B" w:rsidRDefault="00E42260" w:rsidP="00090E41">
      <w:pPr>
        <w:ind w:firstLine="0"/>
      </w:pPr>
      <w:r>
        <w:t xml:space="preserve">Jesus as </w:t>
      </w:r>
      <w:r w:rsidR="00BD660B">
        <w:t>Prophe</w:t>
      </w:r>
      <w:r>
        <w:t>t: An Interfaith View</w:t>
      </w:r>
    </w:p>
    <w:p w:rsidR="00293733" w:rsidRPr="00BD660B" w:rsidRDefault="00293733" w:rsidP="00090E41">
      <w:pPr>
        <w:ind w:firstLine="0"/>
      </w:pPr>
      <w:bookmarkStart w:id="0" w:name="_GoBack"/>
      <w:bookmarkEnd w:id="0"/>
      <w:r>
        <w:t>Robert Owens Sco</w:t>
      </w:r>
      <w:r w:rsidRPr="00BD660B">
        <w:t>tt</w:t>
      </w:r>
      <w:r w:rsidR="00090E41">
        <w:t xml:space="preserve">, </w:t>
      </w:r>
      <w:r w:rsidR="003D35D2">
        <w:t>Director, Trinity Institute</w:t>
      </w:r>
      <w:r w:rsidR="00692D23">
        <w:t>, New York City, USA</w:t>
      </w:r>
    </w:p>
    <w:p w:rsidR="00293733" w:rsidRDefault="00BD660B" w:rsidP="00090E41">
      <w:pPr>
        <w:ind w:firstLine="0"/>
        <w:rPr>
          <w:rFonts w:eastAsia="Times New Roman"/>
          <w:color w:val="000000"/>
          <w:kern w:val="36"/>
        </w:rPr>
      </w:pPr>
      <w:r w:rsidRPr="00BD660B">
        <w:t xml:space="preserve">Submission for </w:t>
      </w:r>
      <w:r w:rsidRPr="00BD660B">
        <w:rPr>
          <w:rFonts w:eastAsia="Times New Roman"/>
          <w:color w:val="000000"/>
          <w:kern w:val="36"/>
        </w:rPr>
        <w:t xml:space="preserve">10th International </w:t>
      </w:r>
      <w:proofErr w:type="spellStart"/>
      <w:r w:rsidRPr="00BD660B">
        <w:rPr>
          <w:rFonts w:eastAsia="Times New Roman"/>
          <w:color w:val="000000"/>
          <w:kern w:val="36"/>
        </w:rPr>
        <w:t>Risale-i</w:t>
      </w:r>
      <w:proofErr w:type="spellEnd"/>
      <w:r w:rsidRPr="00BD660B">
        <w:rPr>
          <w:rFonts w:eastAsia="Times New Roman"/>
          <w:color w:val="000000"/>
          <w:kern w:val="36"/>
        </w:rPr>
        <w:t xml:space="preserve"> </w:t>
      </w:r>
      <w:proofErr w:type="spellStart"/>
      <w:r w:rsidRPr="00BD660B">
        <w:rPr>
          <w:rFonts w:eastAsia="Times New Roman"/>
          <w:color w:val="000000"/>
          <w:kern w:val="36"/>
        </w:rPr>
        <w:t>Nur</w:t>
      </w:r>
      <w:proofErr w:type="spellEnd"/>
      <w:r w:rsidRPr="00BD660B">
        <w:rPr>
          <w:rFonts w:eastAsia="Times New Roman"/>
          <w:color w:val="000000"/>
          <w:kern w:val="36"/>
        </w:rPr>
        <w:t xml:space="preserve"> Symposium</w:t>
      </w:r>
      <w:r>
        <w:rPr>
          <w:rFonts w:eastAsia="Times New Roman"/>
          <w:color w:val="000000"/>
          <w:kern w:val="36"/>
        </w:rPr>
        <w:t>, 22-24 September 2013</w:t>
      </w:r>
    </w:p>
    <w:p w:rsidR="00BD660B" w:rsidRPr="00BD660B" w:rsidRDefault="00BD660B" w:rsidP="00090E41">
      <w:pPr>
        <w:ind w:firstLine="0"/>
      </w:pPr>
      <w:r>
        <w:rPr>
          <w:rFonts w:eastAsia="Times New Roman"/>
          <w:color w:val="000000"/>
          <w:kern w:val="36"/>
        </w:rPr>
        <w:t>First Draft Submission Date: June 30, 2013</w:t>
      </w:r>
    </w:p>
    <w:p w:rsidR="00FB321B" w:rsidRDefault="00EE72A8">
      <w:r>
        <w:t>On September 11, 2007, I joined a group of Muslim and Chr</w:t>
      </w:r>
      <w:r w:rsidR="00640676">
        <w:t>istian scholars and program leader</w:t>
      </w:r>
      <w:r>
        <w:t xml:space="preserve">s at a </w:t>
      </w:r>
      <w:r w:rsidR="00692D23">
        <w:t xml:space="preserve">New York </w:t>
      </w:r>
      <w:r>
        <w:t xml:space="preserve">retreat center dedicated to </w:t>
      </w:r>
      <w:r w:rsidR="005014B2">
        <w:t xml:space="preserve">peacemaking and </w:t>
      </w:r>
      <w:r>
        <w:t>interfaith dialogue. During the day we met formally around a large table</w:t>
      </w:r>
      <w:r w:rsidR="00692D23">
        <w:t>. E</w:t>
      </w:r>
      <w:r>
        <w:t>ach participant sp</w:t>
      </w:r>
      <w:r w:rsidR="00692D23">
        <w:t>oke</w:t>
      </w:r>
      <w:r>
        <w:t xml:space="preserve"> of her or h</w:t>
      </w:r>
      <w:r w:rsidR="00640676">
        <w:t>is particular work</w:t>
      </w:r>
      <w:r w:rsidR="00692D23">
        <w:t>.</w:t>
      </w:r>
      <w:r w:rsidR="00640676">
        <w:t xml:space="preserve"> (</w:t>
      </w:r>
      <w:r>
        <w:t xml:space="preserve">I was organizing an interfaith conference to </w:t>
      </w:r>
      <w:r w:rsidR="00640676">
        <w:t>explore</w:t>
      </w:r>
      <w:r>
        <w:t xml:space="preserve"> the roots of violence in the Abrahamic faiths and how to transcend them</w:t>
      </w:r>
      <w:r w:rsidR="00692D23">
        <w:t>.)</w:t>
      </w:r>
      <w:r>
        <w:t xml:space="preserve"> Our aim was to iden</w:t>
      </w:r>
      <w:r w:rsidR="00640676">
        <w:t>tify common goals and opportunities for</w:t>
      </w:r>
      <w:r>
        <w:t xml:space="preserve"> collaboration. </w:t>
      </w:r>
    </w:p>
    <w:p w:rsidR="001276AD" w:rsidRDefault="00414591">
      <w:r>
        <w:t xml:space="preserve">As often happens </w:t>
      </w:r>
      <w:r w:rsidR="00EE72A8">
        <w:t>in these types of gatherings, the moment</w:t>
      </w:r>
      <w:r w:rsidR="005014B2">
        <w:t xml:space="preserve"> I found most meaningful and memorable</w:t>
      </w:r>
      <w:r w:rsidR="00DB10F2">
        <w:t xml:space="preserve"> occurred</w:t>
      </w:r>
      <w:r w:rsidR="00EE72A8">
        <w:t xml:space="preserve"> </w:t>
      </w:r>
      <w:r w:rsidR="00D5098B">
        <w:t xml:space="preserve">during informal conversation </w:t>
      </w:r>
      <w:r w:rsidR="00EE72A8">
        <w:t>later</w:t>
      </w:r>
      <w:r w:rsidR="004937EC">
        <w:t>. S</w:t>
      </w:r>
      <w:r>
        <w:t xml:space="preserve">ome of us </w:t>
      </w:r>
      <w:r w:rsidR="00EE72A8">
        <w:t>sat togethe</w:t>
      </w:r>
      <w:r w:rsidR="004937EC">
        <w:t>r outdoors on the warm evening, and t</w:t>
      </w:r>
      <w:r w:rsidR="00EE72A8">
        <w:t xml:space="preserve">he </w:t>
      </w:r>
      <w:r w:rsidR="00D5098B">
        <w:t>discussion</w:t>
      </w:r>
      <w:r w:rsidR="00EE72A8">
        <w:t xml:space="preserve"> came around to King David. One of the Muslims present referred to David as a prophet. A Christian responded, “We don’t see him that way.” </w:t>
      </w:r>
      <w:r w:rsidR="001276AD">
        <w:t>This felt like an important opening, because i</w:t>
      </w:r>
      <w:r w:rsidR="00EE72A8">
        <w:t xml:space="preserve">n interfaith dialogue, identifying differences is as important as </w:t>
      </w:r>
      <w:r w:rsidR="00692D23">
        <w:t>finding similarities</w:t>
      </w:r>
      <w:r w:rsidR="00EE72A8">
        <w:t>, as long as those differences are handled respectfully. We Christians who were present were asked, “</w:t>
      </w:r>
      <w:r w:rsidR="001276AD">
        <w:t>Then w</w:t>
      </w:r>
      <w:r w:rsidR="00EE72A8">
        <w:t>hat do</w:t>
      </w:r>
      <w:r w:rsidR="00EE72A8" w:rsidRPr="00EE72A8">
        <w:rPr>
          <w:i/>
        </w:rPr>
        <w:t xml:space="preserve"> you</w:t>
      </w:r>
      <w:r w:rsidR="00EE72A8">
        <w:t xml:space="preserve"> mean by ‘prophet’?” </w:t>
      </w:r>
    </w:p>
    <w:p w:rsidR="001276AD" w:rsidRDefault="00EE72A8">
      <w:r>
        <w:t>We explained that, in the Judeo-Christian tradition, prophets were not people of power or position</w:t>
      </w:r>
      <w:r w:rsidR="00D5098B">
        <w:t xml:space="preserve">. </w:t>
      </w:r>
      <w:r w:rsidR="00FE31DE">
        <w:t>They</w:t>
      </w:r>
      <w:r>
        <w:t xml:space="preserve"> </w:t>
      </w:r>
      <w:r w:rsidR="00640676">
        <w:t>were</w:t>
      </w:r>
      <w:r>
        <w:t xml:space="preserve"> outsiders, railing against the rulers</w:t>
      </w:r>
      <w:r w:rsidR="001276AD">
        <w:t xml:space="preserve"> and the direction the nation was taking under their leadership</w:t>
      </w:r>
      <w:r>
        <w:t xml:space="preserve">. </w:t>
      </w:r>
      <w:r w:rsidR="001276AD">
        <w:t xml:space="preserve">Typical is this exchange between King Ahab and the prophet Elijah: </w:t>
      </w:r>
    </w:p>
    <w:p w:rsidR="001276AD" w:rsidRDefault="00FB321B" w:rsidP="001276AD">
      <w:pPr>
        <w:spacing w:line="240" w:lineRule="auto"/>
        <w:ind w:left="720" w:firstLine="0"/>
        <w:rPr>
          <w:bCs/>
          <w:lang w:bidi="he-IL"/>
        </w:rPr>
      </w:pPr>
      <w:r w:rsidRPr="00FB321B">
        <w:rPr>
          <w:lang w:bidi="he-IL"/>
        </w:rPr>
        <w:t xml:space="preserve">When Ahab saw Elijah, Ahab said to him, </w:t>
      </w:r>
      <w:r w:rsidR="001276AD">
        <w:rPr>
          <w:lang w:bidi="he-IL"/>
        </w:rPr>
        <w:t>“</w:t>
      </w:r>
      <w:r w:rsidRPr="00FB321B">
        <w:rPr>
          <w:lang w:bidi="he-IL"/>
        </w:rPr>
        <w:t>Is it you, you troubler of Israel?</w:t>
      </w:r>
      <w:r>
        <w:rPr>
          <w:lang w:bidi="he-IL"/>
        </w:rPr>
        <w:t xml:space="preserve"> </w:t>
      </w:r>
      <w:r w:rsidR="001276AD" w:rsidRPr="00FB321B">
        <w:rPr>
          <w:lang w:bidi="he-IL"/>
        </w:rPr>
        <w:t xml:space="preserve">He answered, </w:t>
      </w:r>
      <w:r w:rsidR="001276AD">
        <w:rPr>
          <w:lang w:bidi="he-IL"/>
        </w:rPr>
        <w:t>“</w:t>
      </w:r>
      <w:r w:rsidR="001276AD" w:rsidRPr="00FB321B">
        <w:rPr>
          <w:lang w:bidi="he-IL"/>
        </w:rPr>
        <w:t>I have not troubled Israel; but you have, and your father</w:t>
      </w:r>
      <w:r w:rsidR="001276AD">
        <w:rPr>
          <w:lang w:bidi="he-IL"/>
        </w:rPr>
        <w:t>’</w:t>
      </w:r>
      <w:r w:rsidR="001276AD" w:rsidRPr="00FB321B">
        <w:rPr>
          <w:lang w:bidi="he-IL"/>
        </w:rPr>
        <w:t xml:space="preserve">s house, because you have forsaken the commandments of the LORD and followed the </w:t>
      </w:r>
      <w:proofErr w:type="spellStart"/>
      <w:r w:rsidR="001276AD" w:rsidRPr="00FB321B">
        <w:rPr>
          <w:lang w:bidi="he-IL"/>
        </w:rPr>
        <w:t>Baals</w:t>
      </w:r>
      <w:proofErr w:type="spellEnd"/>
      <w:r w:rsidR="001276AD" w:rsidRPr="00FB321B">
        <w:rPr>
          <w:lang w:bidi="he-IL"/>
        </w:rPr>
        <w:t>.</w:t>
      </w:r>
      <w:r w:rsidR="001276AD">
        <w:rPr>
          <w:lang w:bidi="he-IL"/>
        </w:rPr>
        <w:t>”</w:t>
      </w:r>
      <w:r w:rsidR="001276AD" w:rsidRPr="00FB321B">
        <w:rPr>
          <w:bCs/>
          <w:lang w:bidi="he-IL"/>
        </w:rPr>
        <w:t xml:space="preserve"> </w:t>
      </w:r>
      <w:r w:rsidR="001276AD">
        <w:rPr>
          <w:bCs/>
          <w:lang w:bidi="he-IL"/>
        </w:rPr>
        <w:t>(</w:t>
      </w:r>
      <w:r w:rsidR="001276AD" w:rsidRPr="00FB321B">
        <w:rPr>
          <w:bCs/>
          <w:lang w:bidi="he-IL"/>
        </w:rPr>
        <w:t>1 Kings 18:</w:t>
      </w:r>
      <w:r w:rsidR="001276AD">
        <w:rPr>
          <w:bCs/>
          <w:lang w:bidi="he-IL"/>
        </w:rPr>
        <w:t>17-</w:t>
      </w:r>
      <w:r w:rsidR="001276AD" w:rsidRPr="00FB321B">
        <w:rPr>
          <w:bCs/>
          <w:lang w:bidi="he-IL"/>
        </w:rPr>
        <w:t>18</w:t>
      </w:r>
      <w:r w:rsidR="001276AD">
        <w:rPr>
          <w:bCs/>
          <w:lang w:bidi="he-IL"/>
        </w:rPr>
        <w:t>)</w:t>
      </w:r>
    </w:p>
    <w:p w:rsidR="001276AD" w:rsidRDefault="001276AD" w:rsidP="001276AD">
      <w:pPr>
        <w:spacing w:line="240" w:lineRule="auto"/>
        <w:ind w:left="720" w:firstLine="0"/>
        <w:rPr>
          <w:bCs/>
          <w:lang w:bidi="he-IL"/>
        </w:rPr>
      </w:pPr>
    </w:p>
    <w:p w:rsidR="00CC73FE" w:rsidRDefault="00414591">
      <w:pPr>
        <w:rPr>
          <w:lang w:bidi="he-IL"/>
        </w:rPr>
      </w:pPr>
      <w:r>
        <w:rPr>
          <w:lang w:bidi="he-IL"/>
        </w:rPr>
        <w:lastRenderedPageBreak/>
        <w:t>W</w:t>
      </w:r>
      <w:r w:rsidR="00FB321B">
        <w:rPr>
          <w:lang w:bidi="he-IL"/>
        </w:rPr>
        <w:t xml:space="preserve">hen the prophets spoke of things to come, </w:t>
      </w:r>
      <w:r w:rsidR="001276AD">
        <w:rPr>
          <w:lang w:bidi="he-IL"/>
        </w:rPr>
        <w:t xml:space="preserve">it was less a case of making predictions than of </w:t>
      </w:r>
      <w:r w:rsidR="00FB321B">
        <w:rPr>
          <w:lang w:bidi="he-IL"/>
        </w:rPr>
        <w:t xml:space="preserve">pointing out the disastrous consequences of turning from God’s way. </w:t>
      </w:r>
      <w:r w:rsidR="001276AD">
        <w:rPr>
          <w:lang w:bidi="he-IL"/>
        </w:rPr>
        <w:t>They were</w:t>
      </w:r>
      <w:r w:rsidR="00BD660B">
        <w:rPr>
          <w:lang w:bidi="he-IL"/>
        </w:rPr>
        <w:t xml:space="preserve"> reformers, passionate for the kingdom </w:t>
      </w:r>
      <w:r w:rsidR="001276AD">
        <w:rPr>
          <w:lang w:bidi="he-IL"/>
        </w:rPr>
        <w:t>God intended</w:t>
      </w:r>
      <w:r w:rsidR="005014B2">
        <w:rPr>
          <w:lang w:bidi="he-IL"/>
        </w:rPr>
        <w:t xml:space="preserve">: where, as in </w:t>
      </w:r>
      <w:r w:rsidR="007E6288">
        <w:rPr>
          <w:lang w:bidi="he-IL"/>
        </w:rPr>
        <w:t xml:space="preserve">the story of </w:t>
      </w:r>
      <w:r w:rsidR="005014B2">
        <w:rPr>
          <w:lang w:bidi="he-IL"/>
        </w:rPr>
        <w:t>the Garden of Eden (Genesis 2:8ff), all had what they needed to live, all had productive work, and none were exploited</w:t>
      </w:r>
      <w:r w:rsidR="001276AD">
        <w:rPr>
          <w:lang w:bidi="he-IL"/>
        </w:rPr>
        <w:t xml:space="preserve">. </w:t>
      </w:r>
    </w:p>
    <w:p w:rsidR="001276AD" w:rsidRDefault="005014B2">
      <w:r>
        <w:t>I recall t</w:t>
      </w:r>
      <w:r w:rsidR="004B10A4">
        <w:t xml:space="preserve">his conversation </w:t>
      </w:r>
      <w:r>
        <w:t xml:space="preserve">because it </w:t>
      </w:r>
      <w:r w:rsidR="004B10A4">
        <w:t xml:space="preserve">brings up </w:t>
      </w:r>
      <w:r>
        <w:t>three</w:t>
      </w:r>
      <w:r w:rsidR="004B10A4">
        <w:t xml:space="preserve"> points that ar</w:t>
      </w:r>
      <w:r w:rsidR="00D4600F">
        <w:t>e important to this essay. F</w:t>
      </w:r>
      <w:r w:rsidR="004B10A4">
        <w:t>irst</w:t>
      </w:r>
      <w:r w:rsidR="00D4600F">
        <w:t>, that t</w:t>
      </w:r>
      <w:r w:rsidR="004B10A4">
        <w:t xml:space="preserve">he category “prophet” is important in all three of the Abrahamic traditions. </w:t>
      </w:r>
      <w:r w:rsidR="00D4600F">
        <w:t>Second, t</w:t>
      </w:r>
      <w:r w:rsidR="00414591">
        <w:t>hough</w:t>
      </w:r>
      <w:r w:rsidR="004B10A4">
        <w:t xml:space="preserve"> “prophet” is </w:t>
      </w:r>
      <w:r w:rsidR="00414591">
        <w:t xml:space="preserve">a </w:t>
      </w:r>
      <w:r w:rsidR="004B10A4">
        <w:t>widely u</w:t>
      </w:r>
      <w:r>
        <w:t>sed</w:t>
      </w:r>
      <w:r w:rsidR="00414591">
        <w:t xml:space="preserve"> word</w:t>
      </w:r>
      <w:r>
        <w:t>, any substantive discussion</w:t>
      </w:r>
      <w:r w:rsidR="004B10A4">
        <w:t xml:space="preserve"> of prophets or prophecy require</w:t>
      </w:r>
      <w:r>
        <w:t>s</w:t>
      </w:r>
      <w:r w:rsidR="004B10A4">
        <w:t xml:space="preserve"> us to define our terms. Th</w:t>
      </w:r>
      <w:r w:rsidR="00D4600F">
        <w:t xml:space="preserve">ese two </w:t>
      </w:r>
      <w:r w:rsidR="004B10A4">
        <w:t xml:space="preserve">bring us to my central thesis: </w:t>
      </w:r>
      <w:r w:rsidR="00530EAE">
        <w:t>The fact that Muslims revere Jesus as a prophet</w:t>
      </w:r>
      <w:r>
        <w:t xml:space="preserve"> (Quran, 19:30)</w:t>
      </w:r>
      <w:r w:rsidR="00530EAE">
        <w:t xml:space="preserve">, while Christians consider him divine, is often seen as an unbridgeable gulf between the two traditions. I believe, </w:t>
      </w:r>
      <w:r w:rsidR="00640676">
        <w:t xml:space="preserve">however, </w:t>
      </w:r>
      <w:r w:rsidR="00530EAE">
        <w:t xml:space="preserve">that </w:t>
      </w:r>
      <w:r w:rsidR="004937EC">
        <w:t xml:space="preserve">1) </w:t>
      </w:r>
      <w:r w:rsidR="00530EAE">
        <w:t>if we take a definition of prophet that fits the Hebrew Scriptur</w:t>
      </w:r>
      <w:r w:rsidR="00D4600F">
        <w:t>es and the New Testament and consider</w:t>
      </w:r>
      <w:r w:rsidR="00530EAE">
        <w:t xml:space="preserve"> Jesus in this light, we will find that we are able to speak of him as a prophet </w:t>
      </w:r>
      <w:r w:rsidR="009B4EFF">
        <w:t>without abandoning</w:t>
      </w:r>
      <w:r w:rsidR="00D4600F">
        <w:t xml:space="preserve"> </w:t>
      </w:r>
      <w:r w:rsidR="00BD2796">
        <w:t xml:space="preserve">traditional </w:t>
      </w:r>
      <w:r w:rsidR="00D4600F">
        <w:t>Christian</w:t>
      </w:r>
      <w:r w:rsidR="009B4EFF">
        <w:t xml:space="preserve"> formulation</w:t>
      </w:r>
      <w:r w:rsidR="00D4600F">
        <w:t>s</w:t>
      </w:r>
      <w:r w:rsidR="009B4EFF">
        <w:t xml:space="preserve"> </w:t>
      </w:r>
      <w:r w:rsidR="004937EC">
        <w:t>about him</w:t>
      </w:r>
      <w:r w:rsidR="00530EAE">
        <w:t xml:space="preserve">, and </w:t>
      </w:r>
      <w:r>
        <w:t>2)</w:t>
      </w:r>
      <w:r w:rsidR="00530EAE">
        <w:t xml:space="preserve"> by placing this understanding alongside the view of prophe</w:t>
      </w:r>
      <w:r w:rsidR="00640676">
        <w:t>cy</w:t>
      </w:r>
      <w:r w:rsidR="00530EAE">
        <w:t xml:space="preserve"> in the </w:t>
      </w:r>
      <w:proofErr w:type="spellStart"/>
      <w:r w:rsidR="00530EAE" w:rsidRPr="003B1DFB">
        <w:rPr>
          <w:i/>
        </w:rPr>
        <w:t>Risale-i</w:t>
      </w:r>
      <w:proofErr w:type="spellEnd"/>
      <w:r w:rsidR="00530EAE" w:rsidRPr="003B1DFB">
        <w:rPr>
          <w:i/>
        </w:rPr>
        <w:t xml:space="preserve"> </w:t>
      </w:r>
      <w:proofErr w:type="spellStart"/>
      <w:r w:rsidR="00530EAE" w:rsidRPr="003B1DFB">
        <w:rPr>
          <w:i/>
        </w:rPr>
        <w:t>Nur</w:t>
      </w:r>
      <w:proofErr w:type="spellEnd"/>
      <w:r w:rsidR="00530EAE">
        <w:t xml:space="preserve">, we will discover ways to promote shared mission. </w:t>
      </w:r>
    </w:p>
    <w:p w:rsidR="006B1413" w:rsidRDefault="006B1413" w:rsidP="006B1413">
      <w:r>
        <w:t>What Is a Prophet for Jews and Christians?</w:t>
      </w:r>
    </w:p>
    <w:p w:rsidR="006B1413" w:rsidRDefault="00390B64" w:rsidP="006B1413">
      <w:r>
        <w:t>Some</w:t>
      </w:r>
      <w:r w:rsidR="00E75B0F">
        <w:t xml:space="preserve"> of the most comprehensive scholarship on this question over the past half century has been written by Walter </w:t>
      </w:r>
      <w:proofErr w:type="spellStart"/>
      <w:r w:rsidR="00E75B0F">
        <w:t>Brueggemann</w:t>
      </w:r>
      <w:proofErr w:type="spellEnd"/>
      <w:r w:rsidR="00E75B0F">
        <w:t xml:space="preserve">. </w:t>
      </w:r>
      <w:r w:rsidR="00640676">
        <w:t xml:space="preserve">In </w:t>
      </w:r>
      <w:r w:rsidR="00692D23">
        <w:t xml:space="preserve">a 2001 </w:t>
      </w:r>
      <w:r w:rsidR="00640676">
        <w:t>updat</w:t>
      </w:r>
      <w:r w:rsidR="00692D23">
        <w:t>e of</w:t>
      </w:r>
      <w:r w:rsidR="00E75B0F">
        <w:t xml:space="preserve"> his influential 1978 book, </w:t>
      </w:r>
      <w:r w:rsidR="00E75B0F">
        <w:rPr>
          <w:i/>
        </w:rPr>
        <w:t>The Prophetic Imagination</w:t>
      </w:r>
      <w:r w:rsidR="00640676">
        <w:t>,</w:t>
      </w:r>
      <w:r w:rsidR="00E75B0F">
        <w:t xml:space="preserve"> he nuances the characterization of the Hebrew prophets that my colleagues and I shared with our Muslim friends that evening. </w:t>
      </w:r>
      <w:proofErr w:type="spellStart"/>
      <w:r>
        <w:t>Brueggemann</w:t>
      </w:r>
      <w:proofErr w:type="spellEnd"/>
      <w:r>
        <w:t xml:space="preserve"> points out that, w</w:t>
      </w:r>
      <w:r w:rsidR="00E75B0F">
        <w:t xml:space="preserve">hile it is true that the prophets stood in opposition to the ruling powers, recent social criticism </w:t>
      </w:r>
      <w:r w:rsidR="00692D23">
        <w:t xml:space="preserve">has </w:t>
      </w:r>
      <w:r w:rsidR="00E75B0F">
        <w:t xml:space="preserve">“helped us to see that the prophets are not lonely voices against the establishment but are in </w:t>
      </w:r>
      <w:r w:rsidR="00E75B0F">
        <w:lastRenderedPageBreak/>
        <w:t>fact representative voices that give social expression to what may be important and engaged social constituencies.”</w:t>
      </w:r>
      <w:r w:rsidR="00E75B0F">
        <w:rPr>
          <w:rStyle w:val="FootnoteReference"/>
        </w:rPr>
        <w:footnoteReference w:id="1"/>
      </w:r>
      <w:r>
        <w:t xml:space="preserve"> </w:t>
      </w:r>
    </w:p>
    <w:p w:rsidR="00827671" w:rsidRDefault="00827671" w:rsidP="006B1413">
      <w:r>
        <w:t xml:space="preserve">Along with </w:t>
      </w:r>
      <w:r w:rsidR="00640676">
        <w:t xml:space="preserve">their </w:t>
      </w:r>
      <w:r>
        <w:t xml:space="preserve">countercultural social </w:t>
      </w:r>
      <w:proofErr w:type="spellStart"/>
      <w:r>
        <w:t>embeddedness</w:t>
      </w:r>
      <w:proofErr w:type="spellEnd"/>
      <w:r>
        <w:t xml:space="preserve">, the </w:t>
      </w:r>
      <w:r w:rsidR="00640676">
        <w:t xml:space="preserve">prophets’ </w:t>
      </w:r>
      <w:r>
        <w:t xml:space="preserve">key characteristic, </w:t>
      </w:r>
      <w:proofErr w:type="spellStart"/>
      <w:r>
        <w:t>Brueggemann</w:t>
      </w:r>
      <w:proofErr w:type="spellEnd"/>
      <w:r>
        <w:t xml:space="preserve"> contends, is named in his title: imagination. Inspired by God’s Spirit, the prophets are able to imagine a social order different from that currently in place and to convey that vision to others in a way that is energizing and transformational: “prophetic texts…could be seen as poetic scenarios of alternative social reality that might lead to direct confrontation with ‘presumed, taken-for-granted worlds.’” </w:t>
      </w:r>
    </w:p>
    <w:p w:rsidR="00FE31DE" w:rsidRDefault="00C5271F" w:rsidP="006B1413">
      <w:r>
        <w:t>The essential activities for a prophet, he maintains, are “criticizing and energizing.”</w:t>
      </w:r>
      <w:r>
        <w:rPr>
          <w:rStyle w:val="FootnoteReference"/>
        </w:rPr>
        <w:footnoteReference w:id="2"/>
      </w:r>
      <w:r w:rsidR="00DB10F2">
        <w:t xml:space="preserve"> Using Moses as an exemplar</w:t>
      </w:r>
      <w:r>
        <w:t xml:space="preserve">, he points out that prophetic criticism is “not carping and denouncing. It is asserting that false claims to authority and power cannot keep their promises, which they could not in the face of the free God.” </w:t>
      </w:r>
      <w:r w:rsidR="004937EC">
        <w:t xml:space="preserve">(He contrasts the freedom of God with the proclivity of human leaders to limit possibilities in order to protect their power and privilege.) </w:t>
      </w:r>
      <w:r w:rsidR="00FF3F63">
        <w:t>The opening for prophe</w:t>
      </w:r>
      <w:r w:rsidR="00FE31DE">
        <w:t>tic consciousness</w:t>
      </w:r>
      <w:r w:rsidR="00FF3F63">
        <w:t xml:space="preserve"> proceeds from</w:t>
      </w:r>
      <w:r>
        <w:t xml:space="preserve"> </w:t>
      </w:r>
      <w:r w:rsidR="00DF12F5">
        <w:t xml:space="preserve">the ability to </w:t>
      </w:r>
      <w:r>
        <w:t>griev</w:t>
      </w:r>
      <w:r w:rsidR="00DF12F5">
        <w:t>e</w:t>
      </w:r>
      <w:r w:rsidR="00371371">
        <w:t xml:space="preserve"> for the present situation. </w:t>
      </w:r>
      <w:r>
        <w:t xml:space="preserve">Worldly hegemonic powers do not want people to grieve, because </w:t>
      </w:r>
      <w:r w:rsidR="00FF3F63">
        <w:t>grief</w:t>
      </w:r>
      <w:r>
        <w:t xml:space="preserve"> expresses dissatisfaction with the status quo.</w:t>
      </w:r>
      <w:r w:rsidR="00371371">
        <w:t xml:space="preserve"> </w:t>
      </w:r>
    </w:p>
    <w:p w:rsidR="00C5271F" w:rsidRDefault="00191983" w:rsidP="006B1413">
      <w:r>
        <w:t>And while</w:t>
      </w:r>
      <w:r w:rsidR="00FF3F63">
        <w:t xml:space="preserve"> everyday grief can be paralyzing, prophetic grief leads to transformative action. </w:t>
      </w:r>
      <w:r w:rsidR="00371371">
        <w:t>Closely linked to criticism in the prophetic vocation is energizing: the prophet offers a</w:t>
      </w:r>
      <w:r w:rsidR="00FE31DE">
        <w:t>n alternative consciousness and</w:t>
      </w:r>
      <w:r w:rsidR="00371371">
        <w:t xml:space="preserve"> narrative which “create the sense of new realities that can be trusted and relied upon just when the old realities had left us hopeless.”</w:t>
      </w:r>
      <w:r w:rsidR="00371371">
        <w:rPr>
          <w:rStyle w:val="FootnoteReference"/>
        </w:rPr>
        <w:footnoteReference w:id="3"/>
      </w:r>
      <w:r w:rsidR="00371371">
        <w:t xml:space="preserve"> This energizing “is closely linked with hope.”</w:t>
      </w:r>
    </w:p>
    <w:p w:rsidR="00371371" w:rsidRPr="00E75B0F" w:rsidRDefault="00371371" w:rsidP="006B1413">
      <w:r>
        <w:lastRenderedPageBreak/>
        <w:t xml:space="preserve">The category of imagination is also key for </w:t>
      </w:r>
      <w:proofErr w:type="spellStart"/>
      <w:r>
        <w:t>Brueggemann</w:t>
      </w:r>
      <w:proofErr w:type="spellEnd"/>
      <w:r>
        <w:t xml:space="preserve"> because it helps to distinguish prophecy from other types of social reform. The prophet’s mandate is not to offer a particular plan for </w:t>
      </w:r>
      <w:r w:rsidR="00FE31DE">
        <w:t>addressing a social crisis</w:t>
      </w:r>
      <w:r w:rsidR="00FF3F63">
        <w:t xml:space="preserve">, but to help people envision </w:t>
      </w:r>
      <w:r w:rsidR="004937EC">
        <w:t xml:space="preserve">a different world. </w:t>
      </w:r>
      <w:r w:rsidR="00884FCB">
        <w:t>The specific, practical response to the prophe</w:t>
      </w:r>
      <w:r w:rsidR="004937EC">
        <w:t>tic vision can take many forms.</w:t>
      </w:r>
      <w:r w:rsidR="00884FCB">
        <w:t xml:space="preserve"> In short, “The task of prophetic ministry is to nurture, nourish, and evoke a consciousness and perception alternative to the consciousness and perception of the dominant culture around us.”</w:t>
      </w:r>
      <w:r w:rsidR="00884FCB">
        <w:rPr>
          <w:rStyle w:val="FootnoteReference"/>
        </w:rPr>
        <w:footnoteReference w:id="4"/>
      </w:r>
    </w:p>
    <w:p w:rsidR="00147ED8" w:rsidRDefault="00DF12F5" w:rsidP="006B1413">
      <w:r>
        <w:t xml:space="preserve">From the perspective of Judaism, </w:t>
      </w:r>
      <w:r w:rsidR="00147ED8">
        <w:t xml:space="preserve">Abraham Joshua </w:t>
      </w:r>
      <w:proofErr w:type="spellStart"/>
      <w:r w:rsidR="00147ED8">
        <w:t>Heschel</w:t>
      </w:r>
      <w:proofErr w:type="spellEnd"/>
      <w:r>
        <w:t xml:space="preserve"> </w:t>
      </w:r>
      <w:r w:rsidR="00147ED8">
        <w:t>authored arguably the most significant 20</w:t>
      </w:r>
      <w:r w:rsidR="00147ED8" w:rsidRPr="00147ED8">
        <w:rPr>
          <w:vertAlign w:val="superscript"/>
        </w:rPr>
        <w:t>th</w:t>
      </w:r>
      <w:r w:rsidR="00147ED8">
        <w:t xml:space="preserve"> century consideration of prophecy</w:t>
      </w:r>
      <w:r>
        <w:t>. He</w:t>
      </w:r>
      <w:r w:rsidR="00147ED8">
        <w:t xml:space="preserve"> similarly emphasized the prophets’ role as a source of alternative consciousness rooted in God and </w:t>
      </w:r>
      <w:r w:rsidR="00FF3F63">
        <w:t xml:space="preserve">expressing </w:t>
      </w:r>
      <w:r w:rsidR="00147ED8">
        <w:t>grie</w:t>
      </w:r>
      <w:r w:rsidR="00FF3F63">
        <w:t>f</w:t>
      </w:r>
      <w:r w:rsidR="00147ED8">
        <w:t xml:space="preserve"> for the present condition. Introducing the Perennial Classics Edition of his book, </w:t>
      </w:r>
      <w:r w:rsidR="00147ED8">
        <w:rPr>
          <w:i/>
        </w:rPr>
        <w:t>The Prophets</w:t>
      </w:r>
      <w:r w:rsidR="00147ED8">
        <w:t xml:space="preserve">, Susannah </w:t>
      </w:r>
      <w:proofErr w:type="spellStart"/>
      <w:r w:rsidR="00147ED8">
        <w:t>Heschel</w:t>
      </w:r>
      <w:proofErr w:type="spellEnd"/>
      <w:r w:rsidR="00147ED8">
        <w:t xml:space="preserve"> (his daughter and a respected scholar herself), writes,</w:t>
      </w:r>
    </w:p>
    <w:p w:rsidR="006B1413" w:rsidRDefault="006B1413" w:rsidP="0079149D">
      <w:pPr>
        <w:spacing w:line="240" w:lineRule="auto"/>
        <w:ind w:left="720" w:firstLine="0"/>
      </w:pPr>
      <w:r>
        <w:t xml:space="preserve">For my father, the importance of prophecy lies not only in the message, but in the role of the prophet as a witness, someone who is able to make God audible and to reveal not only God’s will, but inner life. To be a prophet, he writes, is to be in fellowship with the feelings of God, to experience communion with the divine consciousness. The prophet hears God’s voice and looks at the </w:t>
      </w:r>
      <w:r w:rsidR="00147ED8">
        <w:t>world from God’s perspective.</w:t>
      </w:r>
      <w:r w:rsidR="00147ED8">
        <w:rPr>
          <w:rStyle w:val="FootnoteReference"/>
        </w:rPr>
        <w:footnoteReference w:id="5"/>
      </w:r>
      <w:r w:rsidR="00147ED8">
        <w:t xml:space="preserve"> </w:t>
      </w:r>
    </w:p>
    <w:p w:rsidR="0079149D" w:rsidRDefault="0079149D" w:rsidP="0079149D">
      <w:pPr>
        <w:spacing w:line="240" w:lineRule="auto"/>
        <w:ind w:left="720" w:firstLine="0"/>
      </w:pPr>
    </w:p>
    <w:p w:rsidR="00FF3F63" w:rsidRDefault="00FF3F63">
      <w:r>
        <w:t>With this view of prophecy in mind, we will turn to the second question:</w:t>
      </w:r>
    </w:p>
    <w:p w:rsidR="009121AA" w:rsidRDefault="009121AA">
      <w:r>
        <w:t>Who Is Jesus?</w:t>
      </w:r>
    </w:p>
    <w:p w:rsidR="002C7811" w:rsidRDefault="002C7811">
      <w:r>
        <w:t>Theological Discussion</w:t>
      </w:r>
    </w:p>
    <w:p w:rsidR="009121AA" w:rsidRDefault="002C7811">
      <w:r>
        <w:t>T</w:t>
      </w:r>
      <w:r w:rsidR="004C7740">
        <w:t xml:space="preserve">he classic Christian claim that </w:t>
      </w:r>
      <w:r w:rsidR="009121AA">
        <w:t>Jesus Christ is “the second person of the Trinity”</w:t>
      </w:r>
      <w:r w:rsidR="009121AA">
        <w:rPr>
          <w:rStyle w:val="FootnoteReference"/>
        </w:rPr>
        <w:footnoteReference w:id="6"/>
      </w:r>
      <w:r w:rsidR="004C7740">
        <w:t xml:space="preserve"> </w:t>
      </w:r>
      <w:r w:rsidR="00C94D98">
        <w:t xml:space="preserve">is </w:t>
      </w:r>
      <w:r w:rsidR="00FE31DE">
        <w:t>a</w:t>
      </w:r>
      <w:r w:rsidR="00C94D98">
        <w:t xml:space="preserve"> </w:t>
      </w:r>
      <w:r>
        <w:t xml:space="preserve">theological </w:t>
      </w:r>
      <w:r w:rsidR="00C94D98">
        <w:t xml:space="preserve">formulation </w:t>
      </w:r>
      <w:r w:rsidR="004C7740">
        <w:t>stating</w:t>
      </w:r>
      <w:r w:rsidR="00C94D98">
        <w:t xml:space="preserve"> that, with the Father and the Holy Spirit, Jesus makes up the Godhead</w:t>
      </w:r>
      <w:r w:rsidR="001D22A2">
        <w:t>, the three-in-one person of God</w:t>
      </w:r>
      <w:r w:rsidR="00C94D98">
        <w:t>.</w:t>
      </w:r>
      <w:r w:rsidR="00C94D98">
        <w:rPr>
          <w:rStyle w:val="FootnoteReference"/>
        </w:rPr>
        <w:footnoteReference w:id="7"/>
      </w:r>
      <w:r w:rsidR="000A2148">
        <w:t xml:space="preserve"> This position</w:t>
      </w:r>
      <w:r w:rsidR="00C94D98">
        <w:t xml:space="preserve"> was</w:t>
      </w:r>
      <w:r w:rsidR="009121AA">
        <w:t xml:space="preserve"> codified in ecumenical councils of the Church held hundreds of years after Jesus of Nazareth lived</w:t>
      </w:r>
      <w:r w:rsidR="00D5098B">
        <w:t xml:space="preserve"> in first-</w:t>
      </w:r>
      <w:r w:rsidR="009121AA">
        <w:t xml:space="preserve">century, Roman-occupied </w:t>
      </w:r>
      <w:r w:rsidR="009121AA">
        <w:lastRenderedPageBreak/>
        <w:t>Palestine.</w:t>
      </w:r>
      <w:r w:rsidR="009121AA">
        <w:rPr>
          <w:rStyle w:val="FootnoteReference"/>
        </w:rPr>
        <w:footnoteReference w:id="8"/>
      </w:r>
      <w:r w:rsidR="009121AA">
        <w:t xml:space="preserve"> </w:t>
      </w:r>
      <w:r w:rsidR="008A2F0B">
        <w:t xml:space="preserve">Throughout the </w:t>
      </w:r>
      <w:proofErr w:type="gramStart"/>
      <w:r w:rsidR="008A2F0B">
        <w:t>Middle</w:t>
      </w:r>
      <w:proofErr w:type="gramEnd"/>
      <w:r w:rsidR="008A2F0B">
        <w:t xml:space="preserve"> Ages and the Reformation, Jesus’ transcendence and unity with God were predominant </w:t>
      </w:r>
      <w:r w:rsidR="00A63BBB">
        <w:t xml:space="preserve">themes </w:t>
      </w:r>
      <w:r w:rsidR="008A2F0B">
        <w:t>in Christian teaching and practice. The same may be said today in many Christian communities.</w:t>
      </w:r>
      <w:r w:rsidR="000A2148">
        <w:t xml:space="preserve"> </w:t>
      </w:r>
    </w:p>
    <w:p w:rsidR="008E366A" w:rsidRDefault="008A2F0B">
      <w:r>
        <w:t>Beginning in the late 19</w:t>
      </w:r>
      <w:r w:rsidRPr="008A2F0B">
        <w:rPr>
          <w:vertAlign w:val="superscript"/>
        </w:rPr>
        <w:t>th</w:t>
      </w:r>
      <w:r>
        <w:t xml:space="preserve"> century, however, </w:t>
      </w:r>
      <w:r w:rsidR="00FC696C">
        <w:t xml:space="preserve">successive </w:t>
      </w:r>
      <w:r>
        <w:t>wave</w:t>
      </w:r>
      <w:r w:rsidR="00C94D98">
        <w:t>s</w:t>
      </w:r>
      <w:r>
        <w:t xml:space="preserve"> of </w:t>
      </w:r>
      <w:r w:rsidR="00C94D98">
        <w:t xml:space="preserve">theological and </w:t>
      </w:r>
      <w:r w:rsidR="001D22A2">
        <w:t>historical</w:t>
      </w:r>
      <w:r w:rsidR="00C94D98">
        <w:t xml:space="preserve"> </w:t>
      </w:r>
      <w:r>
        <w:t>scholarship ha</w:t>
      </w:r>
      <w:r w:rsidR="00C94D98">
        <w:t>ve</w:t>
      </w:r>
      <w:r w:rsidR="004C7740">
        <w:t xml:space="preserve"> helped to broaden </w:t>
      </w:r>
      <w:r w:rsidR="00692D23">
        <w:t>c</w:t>
      </w:r>
      <w:r>
        <w:t xml:space="preserve">hristology (the study of the person and nature of Jesus Christ) in ways that are </w:t>
      </w:r>
      <w:r w:rsidR="00C94D98">
        <w:t xml:space="preserve">both </w:t>
      </w:r>
      <w:r>
        <w:t xml:space="preserve">faithful to the belief and practice of the early church and </w:t>
      </w:r>
      <w:r w:rsidR="00C94D98">
        <w:t>helpful</w:t>
      </w:r>
      <w:r w:rsidR="009B4EFF">
        <w:t xml:space="preserve"> for exploring Jesus’</w:t>
      </w:r>
      <w:r w:rsidR="00C94D98">
        <w:t xml:space="preserve"> significance today.</w:t>
      </w:r>
      <w:r w:rsidR="008E366A">
        <w:t xml:space="preserve"> </w:t>
      </w:r>
      <w:r w:rsidR="00C94D98">
        <w:t xml:space="preserve">Theologically, scholars remind us that the classic statement about Jesus was that he </w:t>
      </w:r>
      <w:r w:rsidR="000A2148">
        <w:t>w</w:t>
      </w:r>
      <w:r w:rsidR="00C94D98">
        <w:t xml:space="preserve">as “fully </w:t>
      </w:r>
      <w:r w:rsidR="002C59F5">
        <w:t>divine</w:t>
      </w:r>
      <w:r w:rsidR="00C94D98">
        <w:t xml:space="preserve"> </w:t>
      </w:r>
      <w:r w:rsidR="00C94D98" w:rsidRPr="00FC696C">
        <w:rPr>
          <w:i/>
        </w:rPr>
        <w:t>and</w:t>
      </w:r>
      <w:r w:rsidR="002C59F5">
        <w:t xml:space="preserve"> fully human</w:t>
      </w:r>
      <w:r w:rsidR="00C94D98">
        <w:t>.”</w:t>
      </w:r>
      <w:r w:rsidR="00C94D98">
        <w:rPr>
          <w:rStyle w:val="FootnoteReference"/>
        </w:rPr>
        <w:footnoteReference w:id="9"/>
      </w:r>
      <w:r w:rsidR="001D22A2">
        <w:t xml:space="preserve"> T</w:t>
      </w:r>
      <w:r w:rsidR="000A2148">
        <w:t xml:space="preserve">o </w:t>
      </w:r>
      <w:r w:rsidR="00FC696C">
        <w:t>be sure, the view</w:t>
      </w:r>
      <w:r w:rsidR="000A2148">
        <w:t xml:space="preserve"> </w:t>
      </w:r>
      <w:r w:rsidR="00FC696C">
        <w:t xml:space="preserve">that </w:t>
      </w:r>
      <w:r w:rsidR="00574470">
        <w:t>Jesus was</w:t>
      </w:r>
      <w:r w:rsidR="00EE74EE">
        <w:t xml:space="preserve"> </w:t>
      </w:r>
      <w:r w:rsidR="002C7811">
        <w:t>what we might describe as “</w:t>
      </w:r>
      <w:r w:rsidR="00C94D98">
        <w:t>God pretending to be human</w:t>
      </w:r>
      <w:r w:rsidR="002C7811">
        <w:t>”</w:t>
      </w:r>
      <w:r w:rsidR="001D22A2">
        <w:t xml:space="preserve"> </w:t>
      </w:r>
      <w:r w:rsidR="00574470">
        <w:t>was</w:t>
      </w:r>
      <w:r w:rsidR="00FC696C">
        <w:t xml:space="preserve"> found</w:t>
      </w:r>
      <w:r w:rsidR="000A2148">
        <w:t xml:space="preserve"> in t</w:t>
      </w:r>
      <w:r w:rsidR="00FC696C">
        <w:t xml:space="preserve">he early church and </w:t>
      </w:r>
      <w:r w:rsidR="000A2148">
        <w:t xml:space="preserve">still </w:t>
      </w:r>
      <w:r w:rsidR="00FC696C">
        <w:t>exists</w:t>
      </w:r>
      <w:r w:rsidR="000A2148">
        <w:t xml:space="preserve"> today. Early on, however, it was officially rejected as the</w:t>
      </w:r>
      <w:r w:rsidR="001D22A2">
        <w:t xml:space="preserve"> heresy</w:t>
      </w:r>
      <w:r w:rsidR="000A2148">
        <w:t xml:space="preserve"> of </w:t>
      </w:r>
      <w:proofErr w:type="spellStart"/>
      <w:proofErr w:type="gramStart"/>
      <w:r w:rsidR="000A2148">
        <w:t>docetism</w:t>
      </w:r>
      <w:proofErr w:type="spellEnd"/>
      <w:proofErr w:type="gramEnd"/>
      <w:r w:rsidR="001D22A2">
        <w:t xml:space="preserve">, </w:t>
      </w:r>
      <w:r w:rsidR="00D5098B">
        <w:t>named for the</w:t>
      </w:r>
      <w:r w:rsidR="000A2148">
        <w:t xml:space="preserve"> Greek word meaning “to seem.”</w:t>
      </w:r>
      <w:r w:rsidR="00A63BBB">
        <w:rPr>
          <w:rStyle w:val="FootnoteReference"/>
        </w:rPr>
        <w:footnoteReference w:id="10"/>
      </w:r>
      <w:r w:rsidR="000A2148">
        <w:t xml:space="preserve"> </w:t>
      </w:r>
      <w:r w:rsidR="00FC696C">
        <w:t>Even so, for a millennium</w:t>
      </w:r>
      <w:r w:rsidR="00574470">
        <w:t xml:space="preserve">, </w:t>
      </w:r>
      <w:r w:rsidR="00FC696C">
        <w:t>theologians focus</w:t>
      </w:r>
      <w:r w:rsidR="00EE74EE">
        <w:t xml:space="preserve">ed intensely on the question asked by </w:t>
      </w:r>
      <w:r w:rsidR="00574470">
        <w:t>a “high</w:t>
      </w:r>
      <w:r w:rsidR="002C7811">
        <w:t>”</w:t>
      </w:r>
      <w:r w:rsidR="00A36C6D">
        <w:t xml:space="preserve"> c</w:t>
      </w:r>
      <w:r w:rsidR="00574470">
        <w:t xml:space="preserve">hristology: </w:t>
      </w:r>
      <w:r w:rsidR="00D5098B">
        <w:t>H</w:t>
      </w:r>
      <w:r w:rsidR="00FC696C">
        <w:t xml:space="preserve">ow </w:t>
      </w:r>
      <w:r w:rsidR="00574470">
        <w:t xml:space="preserve">could </w:t>
      </w:r>
      <w:r w:rsidR="00FC696C">
        <w:t xml:space="preserve">God descend </w:t>
      </w:r>
      <w:r w:rsidR="00574470">
        <w:t xml:space="preserve">from heaven </w:t>
      </w:r>
      <w:r w:rsidR="00FC696C">
        <w:t>to become human</w:t>
      </w:r>
      <w:r w:rsidR="00EE74EE">
        <w:t xml:space="preserve">? </w:t>
      </w:r>
      <w:r w:rsidR="00FC696C">
        <w:t>Jesus’ humanity was obscured</w:t>
      </w:r>
      <w:r w:rsidR="00EE74EE">
        <w:t xml:space="preserve"> as a result</w:t>
      </w:r>
      <w:r w:rsidR="00FC696C">
        <w:t>. In the latter years of the 20</w:t>
      </w:r>
      <w:r w:rsidR="00FC696C" w:rsidRPr="00FC696C">
        <w:rPr>
          <w:vertAlign w:val="superscript"/>
        </w:rPr>
        <w:t>th</w:t>
      </w:r>
      <w:r w:rsidR="00FC696C">
        <w:t xml:space="preserve"> century, Anglican theologian John </w:t>
      </w:r>
      <w:proofErr w:type="spellStart"/>
      <w:r w:rsidR="00FC696C">
        <w:t>Maquarrie</w:t>
      </w:r>
      <w:proofErr w:type="spellEnd"/>
      <w:r w:rsidR="00FC696C">
        <w:t xml:space="preserve"> wrote that “most heresies result from a lack of </w:t>
      </w:r>
      <w:r w:rsidR="008C08B8">
        <w:t>proportion</w:t>
      </w:r>
      <w:r w:rsidR="00FC696C">
        <w:t>”</w:t>
      </w:r>
      <w:r w:rsidR="00FC696C">
        <w:rPr>
          <w:rStyle w:val="FootnoteReference"/>
        </w:rPr>
        <w:footnoteReference w:id="11"/>
      </w:r>
      <w:r w:rsidR="00FC696C">
        <w:t xml:space="preserve"> </w:t>
      </w:r>
      <w:r w:rsidR="004C7740">
        <w:t>and observ</w:t>
      </w:r>
      <w:r w:rsidR="00D4600F">
        <w:t>ed that the overwhelming focus on Jesus’ divin</w:t>
      </w:r>
      <w:r w:rsidR="00574470">
        <w:t>ity</w:t>
      </w:r>
      <w:r w:rsidR="00D4600F">
        <w:t xml:space="preserve"> ha</w:t>
      </w:r>
      <w:r w:rsidR="00D5098B">
        <w:t>d</w:t>
      </w:r>
      <w:r w:rsidR="004C7740">
        <w:t xml:space="preserve"> hardly abated, making </w:t>
      </w:r>
      <w:proofErr w:type="spellStart"/>
      <w:r w:rsidR="004C7740">
        <w:t>d</w:t>
      </w:r>
      <w:r w:rsidR="00D4600F">
        <w:t>ocetism</w:t>
      </w:r>
      <w:proofErr w:type="spellEnd"/>
      <w:r w:rsidR="00D4600F">
        <w:t xml:space="preserve"> the most prevalent </w:t>
      </w:r>
      <w:r w:rsidR="008E366A">
        <w:t>heresy of the contemporary church.</w:t>
      </w:r>
      <w:r w:rsidR="001D22A2">
        <w:rPr>
          <w:rStyle w:val="FootnoteReference"/>
        </w:rPr>
        <w:footnoteReference w:id="12"/>
      </w:r>
      <w:r w:rsidR="008E366A">
        <w:t xml:space="preserve"> </w:t>
      </w:r>
    </w:p>
    <w:p w:rsidR="008E366A" w:rsidRPr="001D22A2" w:rsidRDefault="004C7740">
      <w:r>
        <w:t xml:space="preserve">It is important to note that </w:t>
      </w:r>
      <w:r w:rsidR="00EE74EE">
        <w:t xml:space="preserve">the way </w:t>
      </w:r>
      <w:r w:rsidR="008E366A">
        <w:t>to re</w:t>
      </w:r>
      <w:r w:rsidR="00574470">
        <w:t xml:space="preserve">store </w:t>
      </w:r>
      <w:r w:rsidR="008C08B8">
        <w:t>proportion</w:t>
      </w:r>
      <w:r w:rsidR="00574470">
        <w:t xml:space="preserve"> is not to deny Jesus’ divinity but to approach it in a different fashion. </w:t>
      </w:r>
      <w:r w:rsidR="00EE74EE">
        <w:t xml:space="preserve">It is to ask </w:t>
      </w:r>
      <w:r w:rsidR="00D5098B">
        <w:t>the</w:t>
      </w:r>
      <w:r w:rsidR="0009759B">
        <w:t xml:space="preserve"> question of a “low</w:t>
      </w:r>
      <w:r w:rsidR="002C7811">
        <w:t>”</w:t>
      </w:r>
      <w:r w:rsidR="0009759B">
        <w:t xml:space="preserve"> </w:t>
      </w:r>
      <w:proofErr w:type="gramStart"/>
      <w:r w:rsidR="00A36C6D">
        <w:t>c</w:t>
      </w:r>
      <w:r w:rsidR="0009759B">
        <w:t>hristology</w:t>
      </w:r>
      <w:proofErr w:type="gramEnd"/>
      <w:r w:rsidR="0009759B">
        <w:t xml:space="preserve">: </w:t>
      </w:r>
      <w:r w:rsidR="00955CFB">
        <w:t>“‘How does a man become God?’ or ‘How does a human life embody or manifest the divine life?’”</w:t>
      </w:r>
      <w:r w:rsidR="00955CFB">
        <w:rPr>
          <w:rStyle w:val="FootnoteReference"/>
        </w:rPr>
        <w:footnoteReference w:id="13"/>
      </w:r>
      <w:r w:rsidR="00955CFB">
        <w:t xml:space="preserve"> </w:t>
      </w:r>
      <w:r w:rsidR="008C08B8">
        <w:t xml:space="preserve">Following the American process theologian Norman </w:t>
      </w:r>
      <w:proofErr w:type="spellStart"/>
      <w:r w:rsidR="008C08B8">
        <w:t>Pittenger</w:t>
      </w:r>
      <w:proofErr w:type="spellEnd"/>
      <w:r w:rsidR="008C08B8">
        <w:t xml:space="preserve">, </w:t>
      </w:r>
      <w:proofErr w:type="spellStart"/>
      <w:r w:rsidR="008C08B8">
        <w:t>Maquarrie</w:t>
      </w:r>
      <w:proofErr w:type="spellEnd"/>
      <w:r w:rsidR="008C08B8">
        <w:t xml:space="preserve"> holds “that the</w:t>
      </w:r>
      <w:r w:rsidR="00A36C6D">
        <w:t xml:space="preserve"> </w:t>
      </w:r>
      <w:r w:rsidR="008C08B8">
        <w:lastRenderedPageBreak/>
        <w:t>difference between Jesus and all other human beings is a di</w:t>
      </w:r>
      <w:r w:rsidR="00EE74EE">
        <w:t>fference of degree, not of kind.</w:t>
      </w:r>
      <w:r w:rsidR="008C08B8">
        <w:t xml:space="preserve">” </w:t>
      </w:r>
      <w:r w:rsidR="00D5098B">
        <w:t>H</w:t>
      </w:r>
      <w:r w:rsidR="008C08B8">
        <w:t xml:space="preserve">e believes that such a statement is orthodox, because any view of Jesus treating him as different in kind has “fallen into </w:t>
      </w:r>
      <w:proofErr w:type="spellStart"/>
      <w:r w:rsidR="008C08B8">
        <w:t>docetism</w:t>
      </w:r>
      <w:proofErr w:type="spellEnd"/>
      <w:r w:rsidR="008C08B8">
        <w:t>, whatever we may say.”</w:t>
      </w:r>
      <w:r w:rsidR="008C08B8">
        <w:rPr>
          <w:rStyle w:val="FootnoteReference"/>
        </w:rPr>
        <w:footnoteReference w:id="14"/>
      </w:r>
    </w:p>
    <w:p w:rsidR="00D5098B" w:rsidRDefault="00EE74EE">
      <w:r>
        <w:t>One manner of conceiving</w:t>
      </w:r>
      <w:r w:rsidR="00D5098B">
        <w:t xml:space="preserve"> how a fully human Jesus may be considered fully divine</w:t>
      </w:r>
      <w:r>
        <w:t xml:space="preserve"> was advanced</w:t>
      </w:r>
      <w:r w:rsidR="00D5098B">
        <w:t xml:space="preserve"> by several early church fathers, such as </w:t>
      </w:r>
      <w:proofErr w:type="spellStart"/>
      <w:r w:rsidR="00D5098B">
        <w:t>Irenaeus</w:t>
      </w:r>
      <w:proofErr w:type="spellEnd"/>
      <w:r w:rsidR="00D5098B">
        <w:t xml:space="preserve"> of Lyon</w:t>
      </w:r>
      <w:r w:rsidR="004C7740">
        <w:t xml:space="preserve"> (2</w:t>
      </w:r>
      <w:r w:rsidR="004C7740" w:rsidRPr="004C7740">
        <w:rPr>
          <w:vertAlign w:val="superscript"/>
        </w:rPr>
        <w:t>nd</w:t>
      </w:r>
      <w:r w:rsidR="004C7740">
        <w:t xml:space="preserve"> century)</w:t>
      </w:r>
      <w:r w:rsidR="00D5098B">
        <w:t xml:space="preserve"> and Origin of Alexandria</w:t>
      </w:r>
      <w:r w:rsidR="004C7740">
        <w:t xml:space="preserve"> (3</w:t>
      </w:r>
      <w:r w:rsidR="004C7740" w:rsidRPr="004C7740">
        <w:rPr>
          <w:vertAlign w:val="superscript"/>
        </w:rPr>
        <w:t>rd</w:t>
      </w:r>
      <w:r w:rsidR="004C7740">
        <w:t xml:space="preserve"> century)</w:t>
      </w:r>
      <w:r w:rsidR="00D5098B">
        <w:t xml:space="preserve">. </w:t>
      </w:r>
      <w:r w:rsidR="004C7740">
        <w:t xml:space="preserve">Citing </w:t>
      </w:r>
      <w:r w:rsidR="009045DF" w:rsidRPr="00AC746F">
        <w:t>Genesis 1:26</w:t>
      </w:r>
      <w:r w:rsidR="004C7740">
        <w:t>, which</w:t>
      </w:r>
      <w:r w:rsidR="009045DF">
        <w:t xml:space="preserve"> says that we are made in the “image” and “likeness” of God</w:t>
      </w:r>
      <w:r w:rsidR="004C7740">
        <w:t xml:space="preserve">, they </w:t>
      </w:r>
      <w:r w:rsidR="009045DF">
        <w:t>posited separate meanings</w:t>
      </w:r>
      <w:r w:rsidR="004C7740">
        <w:t xml:space="preserve"> for the two terms</w:t>
      </w:r>
      <w:r w:rsidR="009045DF">
        <w:t xml:space="preserve">: God’s </w:t>
      </w:r>
      <w:r w:rsidR="009045DF" w:rsidRPr="005123DE">
        <w:rPr>
          <w:i/>
        </w:rPr>
        <w:t>image</w:t>
      </w:r>
      <w:r w:rsidR="009045DF">
        <w:t xml:space="preserve"> is an indelible gift, but humans need to grow into God</w:t>
      </w:r>
      <w:r w:rsidR="009045DF" w:rsidRPr="003A7230">
        <w:t xml:space="preserve">’s </w:t>
      </w:r>
      <w:r w:rsidR="009045DF" w:rsidRPr="005123DE">
        <w:rPr>
          <w:i/>
        </w:rPr>
        <w:t>likeness</w:t>
      </w:r>
      <w:r>
        <w:t>. M</w:t>
      </w:r>
      <w:r w:rsidR="004C7740">
        <w:t>ost of us fall far short</w:t>
      </w:r>
      <w:r w:rsidR="009045DF" w:rsidRPr="003A7230">
        <w:t>.</w:t>
      </w:r>
      <w:r w:rsidR="009045DF">
        <w:t xml:space="preserve"> </w:t>
      </w:r>
      <w:r>
        <w:t xml:space="preserve">Jesus </w:t>
      </w:r>
      <w:r w:rsidR="00DD2EF5">
        <w:t xml:space="preserve">fully revealed God’s likeness. To use the biblical language of the Apostle Paul, Jesus modeled a mode of living that was not “conformed to this world” (Romans 12:2) but rather was an embodiment of God’s perfect love, expressed under the conditions of humanity. His commitment to a life based on humility and compassion expressed the “mind…that was in Christ Jesus” (Philippians 2:5). It undermined human systems based on domination and violence by showing that another way is possible, thus relativizing the systems in place. </w:t>
      </w:r>
    </w:p>
    <w:p w:rsidR="002C7811" w:rsidRDefault="002C7811" w:rsidP="004C7740">
      <w:r>
        <w:t>Historical Discussion</w:t>
      </w:r>
    </w:p>
    <w:p w:rsidR="004C7740" w:rsidRDefault="00C37E27" w:rsidP="004C7740">
      <w:r>
        <w:t xml:space="preserve">Jesuit scholar Roger </w:t>
      </w:r>
      <w:proofErr w:type="spellStart"/>
      <w:r>
        <w:t>Haight</w:t>
      </w:r>
      <w:proofErr w:type="spellEnd"/>
      <w:r>
        <w:t xml:space="preserve"> describes how, c</w:t>
      </w:r>
      <w:r w:rsidR="00ED790D">
        <w:t>omplementing the theological freedom to explore Jesus’ humanity, historical-hermeneutical study has establish</w:t>
      </w:r>
      <w:r>
        <w:t>ed</w:t>
      </w:r>
      <w:r w:rsidR="00EE74EE">
        <w:t xml:space="preserve"> interpretive categories to</w:t>
      </w:r>
      <w:r w:rsidR="00ED790D">
        <w:t xml:space="preserve"> account holistically for his public career.</w:t>
      </w:r>
      <w:r w:rsidR="00ED790D">
        <w:rPr>
          <w:rStyle w:val="FootnoteReference"/>
        </w:rPr>
        <w:footnoteReference w:id="15"/>
      </w:r>
      <w:r w:rsidR="00ED790D">
        <w:t xml:space="preserve"> Many Gospel scenes depict Jesus teaching, so it is unsurprising that “teacher</w:t>
      </w:r>
      <w:r w:rsidR="00994088">
        <w:t>”</w:t>
      </w:r>
      <w:r w:rsidR="00ED790D">
        <w:t xml:space="preserve"> is one category. Ta</w:t>
      </w:r>
      <w:r w:rsidR="00DF12F5">
        <w:t>king into account the period</w:t>
      </w:r>
      <w:r w:rsidR="00ED790D">
        <w:t xml:space="preserve"> context, some </w:t>
      </w:r>
      <w:r w:rsidR="00EE74EE">
        <w:t xml:space="preserve">scholars </w:t>
      </w:r>
      <w:r w:rsidR="00ED790D">
        <w:t xml:space="preserve">specify him as a </w:t>
      </w:r>
      <w:r>
        <w:t xml:space="preserve">Hellenistic </w:t>
      </w:r>
      <w:r w:rsidR="00ED790D">
        <w:t xml:space="preserve">Cynic philosopher (John Dominic </w:t>
      </w:r>
      <w:proofErr w:type="spellStart"/>
      <w:r w:rsidR="00ED790D">
        <w:t>Crossan</w:t>
      </w:r>
      <w:proofErr w:type="spellEnd"/>
      <w:r w:rsidR="00ED790D">
        <w:t xml:space="preserve"> and Burton Mack), while others </w:t>
      </w:r>
      <w:r>
        <w:t xml:space="preserve">see him as a sage from the Hebrew Wisdom Tradition (Ben </w:t>
      </w:r>
      <w:proofErr w:type="spellStart"/>
      <w:r>
        <w:t>Witherington</w:t>
      </w:r>
      <w:proofErr w:type="spellEnd"/>
      <w:r>
        <w:t xml:space="preserve"> III). We also find abundant testimony of Jesus’ performing healings and exorcisms, so scholars </w:t>
      </w:r>
      <w:r>
        <w:lastRenderedPageBreak/>
        <w:t>have placed him within the historical context of itinerant holy men reported to have done the same (</w:t>
      </w:r>
      <w:proofErr w:type="spellStart"/>
      <w:r>
        <w:t>Geza</w:t>
      </w:r>
      <w:proofErr w:type="spellEnd"/>
      <w:r>
        <w:t xml:space="preserve"> </w:t>
      </w:r>
      <w:proofErr w:type="spellStart"/>
      <w:r>
        <w:t>Vermes</w:t>
      </w:r>
      <w:proofErr w:type="spellEnd"/>
      <w:r>
        <w:t xml:space="preserve">). </w:t>
      </w:r>
      <w:proofErr w:type="spellStart"/>
      <w:r>
        <w:t>Haight</w:t>
      </w:r>
      <w:proofErr w:type="spellEnd"/>
      <w:r>
        <w:t xml:space="preserve"> describes the category of </w:t>
      </w:r>
      <w:r w:rsidR="00994088">
        <w:t>“</w:t>
      </w:r>
      <w:r>
        <w:t>liberator or savior</w:t>
      </w:r>
      <w:r w:rsidR="00994088">
        <w:t>”</w:t>
      </w:r>
      <w:r>
        <w:t xml:space="preserve"> as encompassing both his historical actions and an identity that supports his appropriation in current situations. Liberation theologians have taken the lead in this interpretation in the last half century. </w:t>
      </w:r>
    </w:p>
    <w:p w:rsidR="00994088" w:rsidRPr="00994088" w:rsidRDefault="00994088" w:rsidP="004C7740">
      <w:r>
        <w:t xml:space="preserve">Perhaps the most prevalent category among historians, however, has been that of “eschatological prophet.” First named in 1892 by Johannes Weiss in </w:t>
      </w:r>
      <w:r>
        <w:rPr>
          <w:i/>
        </w:rPr>
        <w:t>Jesus’ Proclamation of the Kingdom of God</w:t>
      </w:r>
      <w:r>
        <w:t xml:space="preserve">, </w:t>
      </w:r>
      <w:r w:rsidR="00F65961">
        <w:t>this school of thought sought to correct what its members saw as a mischaracterization of Jesus’ message as inward or spiritual, when it was intended as objective: a messianic kingdom in opposition to the social-political structures of this worl</w:t>
      </w:r>
      <w:r w:rsidR="00C81CC9">
        <w:t xml:space="preserve">d. The modifier “eschatological” – which refers to </w:t>
      </w:r>
      <w:r w:rsidR="00F65961">
        <w:t>last things, ultimate concerns, and the end of the world</w:t>
      </w:r>
      <w:r w:rsidR="00C81CC9">
        <w:t xml:space="preserve"> –</w:t>
      </w:r>
      <w:r w:rsidR="00F65961">
        <w:t xml:space="preserve"> is important. Weiss was the first but by no means the last to name the</w:t>
      </w:r>
      <w:r w:rsidR="00C81CC9">
        <w:t xml:space="preserve"> problem</w:t>
      </w:r>
      <w:r w:rsidR="00DA3D16">
        <w:t>:</w:t>
      </w:r>
      <w:r w:rsidR="00C81CC9">
        <w:t xml:space="preserve"> Jesus appeared</w:t>
      </w:r>
      <w:r w:rsidR="00F65961">
        <w:t xml:space="preserve"> to expect the imminent end of time, a </w:t>
      </w:r>
      <w:r w:rsidR="00F840E1">
        <w:t>prospect</w:t>
      </w:r>
      <w:r w:rsidR="00F65961">
        <w:t xml:space="preserve"> that failed to materialize historically and which separates his worldview from that of the modern era. </w:t>
      </w:r>
    </w:p>
    <w:p w:rsidR="004C7740" w:rsidRDefault="00EE74EE" w:rsidP="004C7740">
      <w:r>
        <w:t>While t</w:t>
      </w:r>
      <w:r w:rsidR="004C7740">
        <w:t>he above is merely a brief sketch of an answer to a complex problem</w:t>
      </w:r>
      <w:r>
        <w:t xml:space="preserve">, </w:t>
      </w:r>
      <w:r w:rsidR="00A36C6D">
        <w:t xml:space="preserve">I believe it </w:t>
      </w:r>
      <w:r w:rsidR="004C7740">
        <w:t>establish</w:t>
      </w:r>
      <w:r w:rsidR="00A36C6D">
        <w:t>es</w:t>
      </w:r>
      <w:r w:rsidR="004C7740">
        <w:t xml:space="preserve"> that we may speak of Jesus in categories other than the conversation-stopping “God incarnate” while remaining true to Christian tradition</w:t>
      </w:r>
      <w:r w:rsidR="0015229E">
        <w:t xml:space="preserve"> and historical evidence</w:t>
      </w:r>
      <w:r w:rsidR="004C7740">
        <w:t xml:space="preserve">. </w:t>
      </w:r>
    </w:p>
    <w:p w:rsidR="0015229E" w:rsidRDefault="0015229E" w:rsidP="004C7740">
      <w:r>
        <w:t>Jesus as Prophet</w:t>
      </w:r>
    </w:p>
    <w:p w:rsidR="0015229E" w:rsidRDefault="00665CCA" w:rsidP="00B4597E">
      <w:r>
        <w:t>Numerous Gospel references</w:t>
      </w:r>
      <w:r w:rsidR="000075F0">
        <w:rPr>
          <w:rStyle w:val="FootnoteReference"/>
        </w:rPr>
        <w:footnoteReference w:id="16"/>
      </w:r>
      <w:r w:rsidR="008F5B99">
        <w:t xml:space="preserve"> attest</w:t>
      </w:r>
      <w:r>
        <w:t xml:space="preserve"> that many of those who encountered Jesus – and perhaps Jesus himself – considered </w:t>
      </w:r>
      <w:r w:rsidR="00B4597E">
        <w:t xml:space="preserve">him a prophet. </w:t>
      </w:r>
      <w:r w:rsidR="00170A78">
        <w:t>This</w:t>
      </w:r>
      <w:r w:rsidR="000D41ED">
        <w:t xml:space="preserve"> weight of scriptural evidence allows us to affirm with scholar </w:t>
      </w:r>
      <w:r w:rsidR="000075F0">
        <w:t>N.T. Wright, “Though his foll</w:t>
      </w:r>
      <w:r w:rsidR="008F5B99">
        <w:t>owers came to regard him as more</w:t>
      </w:r>
      <w:r w:rsidR="000075F0">
        <w:t xml:space="preserve"> than a </w:t>
      </w:r>
      <w:r w:rsidR="000075F0">
        <w:lastRenderedPageBreak/>
        <w:t>prophet, they never saw him as less.”</w:t>
      </w:r>
      <w:r w:rsidR="000075F0">
        <w:rPr>
          <w:rStyle w:val="FootnoteReference"/>
        </w:rPr>
        <w:footnoteReference w:id="17"/>
      </w:r>
      <w:r w:rsidR="001D1C6E">
        <w:t xml:space="preserve"> W</w:t>
      </w:r>
      <w:r w:rsidR="000D41ED">
        <w:t>e saw above</w:t>
      </w:r>
      <w:r w:rsidR="000075F0">
        <w:t xml:space="preserve">, </w:t>
      </w:r>
      <w:r w:rsidR="000D41ED">
        <w:t xml:space="preserve">however, </w:t>
      </w:r>
      <w:r w:rsidR="001D1C6E">
        <w:t xml:space="preserve">that </w:t>
      </w:r>
      <w:r w:rsidR="000075F0">
        <w:t xml:space="preserve">when modern historians </w:t>
      </w:r>
      <w:r w:rsidR="0055337C">
        <w:t>began looking at him as a historical figure</w:t>
      </w:r>
      <w:r w:rsidR="000D41ED">
        <w:t xml:space="preserve">, they were dismayed to find the </w:t>
      </w:r>
      <w:r w:rsidR="000D41ED">
        <w:rPr>
          <w:i/>
        </w:rPr>
        <w:t>kind</w:t>
      </w:r>
      <w:r w:rsidR="000D41ED">
        <w:t xml:space="preserve"> of pro</w:t>
      </w:r>
      <w:r w:rsidR="00DA3D16">
        <w:t xml:space="preserve">phet he appeared to be: </w:t>
      </w:r>
      <w:r w:rsidR="000D41ED">
        <w:t>one with an eschatological or apocalyptic focus. A</w:t>
      </w:r>
      <w:r w:rsidR="008F5B99">
        <w:t xml:space="preserve"> century ago, A</w:t>
      </w:r>
      <w:r w:rsidR="000D41ED">
        <w:t>lbert Schweitzer famously declared</w:t>
      </w:r>
      <w:r w:rsidR="00DA3D16">
        <w:t xml:space="preserve"> that Jesus’ appar</w:t>
      </w:r>
      <w:r w:rsidR="0055337C">
        <w:t xml:space="preserve">ent expectation of the imminent end of the world </w:t>
      </w:r>
      <w:r w:rsidR="008F5B99">
        <w:t xml:space="preserve">– what he called Jesus’ “thoroughgoing eschatology” – </w:t>
      </w:r>
      <w:r w:rsidR="0055337C">
        <w:t>placed him within a worldview that is not available to modern persons</w:t>
      </w:r>
      <w:r w:rsidR="00170A78">
        <w:t xml:space="preserve"> and </w:t>
      </w:r>
      <w:r w:rsidR="00DA3D16">
        <w:t xml:space="preserve">therefore </w:t>
      </w:r>
      <w:r w:rsidR="00170A78">
        <w:t>created an unbridgeable distance</w:t>
      </w:r>
      <w:r w:rsidR="0055337C">
        <w:t xml:space="preserve">. </w:t>
      </w:r>
      <w:r w:rsidR="00A36C6D" w:rsidRPr="00A93EAA">
        <w:rPr>
          <w:rStyle w:val="FootnoteReference"/>
        </w:rPr>
        <w:footnoteReference w:id="18"/>
      </w:r>
      <w:r w:rsidR="00A36C6D">
        <w:t xml:space="preserve"> </w:t>
      </w:r>
      <w:r w:rsidR="0055337C">
        <w:t xml:space="preserve">(Not the mention the fact that, since we are still here, he was clearly wrong!) </w:t>
      </w:r>
    </w:p>
    <w:p w:rsidR="0055337C" w:rsidRDefault="0055337C" w:rsidP="008F5B99">
      <w:r>
        <w:t xml:space="preserve">N.T. Wright traces </w:t>
      </w:r>
      <w:r w:rsidR="001D1C6E">
        <w:t>the evolution</w:t>
      </w:r>
      <w:r>
        <w:t xml:space="preserve"> of Jesus scholarship from that point forward </w:t>
      </w:r>
      <w:r w:rsidR="008F5B99">
        <w:t>and come</w:t>
      </w:r>
      <w:r w:rsidR="001D1C6E">
        <w:t>s</w:t>
      </w:r>
      <w:r w:rsidR="008F5B99">
        <w:t xml:space="preserve"> to </w:t>
      </w:r>
      <w:r>
        <w:t xml:space="preserve">interesting </w:t>
      </w:r>
      <w:r w:rsidR="008F5B99">
        <w:t>conclusions</w:t>
      </w:r>
      <w:r>
        <w:t>. Schweitzer and his cohorts were followed by a generation</w:t>
      </w:r>
      <w:r w:rsidR="00A36C6D">
        <w:t xml:space="preserve"> of scholars, </w:t>
      </w:r>
      <w:r>
        <w:t xml:space="preserve">commencing with </w:t>
      </w:r>
      <w:proofErr w:type="spellStart"/>
      <w:r>
        <w:t>Rudoph</w:t>
      </w:r>
      <w:proofErr w:type="spellEnd"/>
      <w:r>
        <w:t xml:space="preserve"> </w:t>
      </w:r>
      <w:proofErr w:type="spellStart"/>
      <w:r>
        <w:t>Bultmann</w:t>
      </w:r>
      <w:proofErr w:type="spellEnd"/>
      <w:r>
        <w:t xml:space="preserve"> (1884-1976), who </w:t>
      </w:r>
      <w:r w:rsidR="00811BB4">
        <w:t>rejected the idea that we could know much of anything historical about Jesus. The Gospels were written as evangelical literature, never intended as history</w:t>
      </w:r>
      <w:r w:rsidR="00A36C6D">
        <w:t xml:space="preserve"> in the way we use the term today</w:t>
      </w:r>
      <w:r w:rsidR="00811BB4">
        <w:t xml:space="preserve">, and we have no way of seeing beyond what the writers wanted us to believe </w:t>
      </w:r>
      <w:r w:rsidR="00A36C6D">
        <w:t xml:space="preserve">in order </w:t>
      </w:r>
      <w:r w:rsidR="00811BB4">
        <w:t>to determine what actually happened. Therefore, they found the value of the New Testament writings in what they revealed about the practices, beliefs, and expectations of the early church. The relationship of those to the person of Jesus was not only indeterminate but undeterminable</w:t>
      </w:r>
      <w:r w:rsidR="00DA3D16">
        <w:t>. T</w:t>
      </w:r>
      <w:r w:rsidR="002C7811">
        <w:t xml:space="preserve">hese scholars </w:t>
      </w:r>
      <w:r w:rsidR="00170A78">
        <w:t xml:space="preserve">dealt with the </w:t>
      </w:r>
      <w:r w:rsidR="001D1C6E">
        <w:t xml:space="preserve">apocalyptic </w:t>
      </w:r>
      <w:r w:rsidR="00170A78">
        <w:t xml:space="preserve">conundrum by arguing that such </w:t>
      </w:r>
      <w:r w:rsidR="001D1C6E">
        <w:t xml:space="preserve">language </w:t>
      </w:r>
      <w:r w:rsidR="00170A78">
        <w:t xml:space="preserve">was introduced by Jesus’ followers and was inconsistent with his own pronouncements, which </w:t>
      </w:r>
      <w:r w:rsidR="002C7811">
        <w:t>consisted of</w:t>
      </w:r>
      <w:r w:rsidR="00170A78">
        <w:t xml:space="preserve"> moral teaching of timeless wisdom.</w:t>
      </w:r>
      <w:r w:rsidR="00415B08">
        <w:t xml:space="preserve"> </w:t>
      </w:r>
      <w:r w:rsidR="008F5B99">
        <w:t>These scholars represented what is described as the “New Quest” for historical Jesus. They are most visibly represented today by members of The Jesus Seminar.</w:t>
      </w:r>
      <w:r w:rsidR="008F5B99">
        <w:rPr>
          <w:rStyle w:val="FootnoteReference"/>
        </w:rPr>
        <w:footnoteReference w:id="19"/>
      </w:r>
      <w:r w:rsidR="008F5B99">
        <w:t xml:space="preserve"> </w:t>
      </w:r>
    </w:p>
    <w:p w:rsidR="00DA3D16" w:rsidRDefault="008F5B99" w:rsidP="001D1C6E">
      <w:r>
        <w:lastRenderedPageBreak/>
        <w:t xml:space="preserve">Wright sees himself as part of a “Third Quest,” which follows from a different </w:t>
      </w:r>
      <w:r w:rsidR="00415B08">
        <w:t>s</w:t>
      </w:r>
      <w:r>
        <w:t xml:space="preserve">et of assumptions. While the first two </w:t>
      </w:r>
      <w:r w:rsidR="00415B08">
        <w:t xml:space="preserve">waves </w:t>
      </w:r>
      <w:r>
        <w:t>interprete</w:t>
      </w:r>
      <w:r w:rsidR="00384F84">
        <w:t>d eschatology and apocalyptic</w:t>
      </w:r>
      <w:r>
        <w:t xml:space="preserve"> as </w:t>
      </w:r>
      <w:r w:rsidR="00384F84">
        <w:t>evidence of the expectation of a literal end of the world (“</w:t>
      </w:r>
      <w:r w:rsidR="00170A78">
        <w:t xml:space="preserve">the </w:t>
      </w:r>
      <w:r w:rsidR="00384F84">
        <w:t xml:space="preserve">space-time continuum”), Wright and others argue that, within the relevant context of First Century Judaism, it meant no such thing. Jewish expectation, as established in the prophetic literature, focused not on a God who would bring about a cosmic cataclysm but rather on a God </w:t>
      </w:r>
      <w:r w:rsidR="00DA3D16">
        <w:t xml:space="preserve">who </w:t>
      </w:r>
      <w:r w:rsidR="00384F84">
        <w:t xml:space="preserve">would ultimately bring this world to its proper fulfillment. </w:t>
      </w:r>
      <w:r w:rsidR="00415B08">
        <w:t>Apocalyptic i</w:t>
      </w:r>
      <w:r w:rsidR="00384F84">
        <w:t>magery</w:t>
      </w:r>
      <w:r w:rsidR="00170A78">
        <w:t>,</w:t>
      </w:r>
      <w:r w:rsidR="00384F84">
        <w:t xml:space="preserve"> such as </w:t>
      </w:r>
      <w:r w:rsidR="001D1C6E">
        <w:t xml:space="preserve">that used by the prophet Isaiah of </w:t>
      </w:r>
      <w:r w:rsidR="00384F84">
        <w:t xml:space="preserve">stars and the sun going dark (13:10) or </w:t>
      </w:r>
      <w:r w:rsidR="001D1C6E">
        <w:t>the skies rolling up like a scroll (34:4)</w:t>
      </w:r>
      <w:r w:rsidR="00415B08">
        <w:t>,</w:t>
      </w:r>
      <w:r w:rsidR="001D1C6E">
        <w:t xml:space="preserve"> were n</w:t>
      </w:r>
      <w:r w:rsidR="00A36C6D">
        <w:t>either</w:t>
      </w:r>
      <w:r w:rsidR="001D1C6E">
        <w:t xml:space="preserve"> literal descriptions </w:t>
      </w:r>
      <w:r w:rsidR="00A36C6D">
        <w:t xml:space="preserve">nor predictions, </w:t>
      </w:r>
      <w:r w:rsidR="001D1C6E">
        <w:t xml:space="preserve">but indications that the worldly conflict at hand had cosmic significance. </w:t>
      </w:r>
      <w:r w:rsidR="002C7811">
        <w:t xml:space="preserve">As Wright puts it, </w:t>
      </w:r>
      <w:r w:rsidR="00384F84">
        <w:t>“Apocalyptic language was (among many other things, to be sure) and elaborate metaphor-system for investing historical event</w:t>
      </w:r>
      <w:r w:rsidR="001D1C6E">
        <w:t>s with theological significance</w:t>
      </w:r>
      <w:r w:rsidR="002C7811">
        <w:t>.</w:t>
      </w:r>
      <w:r w:rsidR="00384F84">
        <w:t>”</w:t>
      </w:r>
      <w:r w:rsidR="001D1C6E">
        <w:t xml:space="preserve"> </w:t>
      </w:r>
    </w:p>
    <w:p w:rsidR="008F5B99" w:rsidRDefault="001D1C6E" w:rsidP="001D1C6E">
      <w:r>
        <w:t>Jesus, he believes, stepped into the language and vocation of the prophets:</w:t>
      </w:r>
    </w:p>
    <w:p w:rsidR="001D1C6E" w:rsidRDefault="001D1C6E" w:rsidP="001D1C6E">
      <w:pPr>
        <w:spacing w:line="240" w:lineRule="auto"/>
        <w:ind w:left="720" w:firstLine="0"/>
      </w:pPr>
      <w:r>
        <w:t xml:space="preserve">Jesus’ warnings of imminent judgment were intended to be taken as denoting (what we would call) sociopolitical events, </w:t>
      </w:r>
      <w:r>
        <w:rPr>
          <w:i/>
        </w:rPr>
        <w:t>seen as the climactic moment in Israel’s history</w:t>
      </w:r>
      <w:r>
        <w:t xml:space="preserve">, and, in consequence, as constituting a summons to </w:t>
      </w:r>
      <w:r>
        <w:rPr>
          <w:i/>
        </w:rPr>
        <w:t>national</w:t>
      </w:r>
      <w:r>
        <w:t xml:space="preserve"> repentance. In this light, Jesus appears to be a successor to </w:t>
      </w:r>
      <w:r w:rsidR="00C169D4">
        <w:t xml:space="preserve">[Hebrew Prophet] </w:t>
      </w:r>
      <w:r>
        <w:t xml:space="preserve">Jeremiah and his like, warning Israel that persistence in her present course will bring political disaster, which in turn should be </w:t>
      </w:r>
      <w:r>
        <w:rPr>
          <w:i/>
        </w:rPr>
        <w:t>understood</w:t>
      </w:r>
      <w:r>
        <w:t xml:space="preserve"> </w:t>
      </w:r>
      <w:r>
        <w:rPr>
          <w:i/>
        </w:rPr>
        <w:t>as</w:t>
      </w:r>
      <w:r>
        <w:t xml:space="preserve"> the judgment of Israel’s own god…This is, I think, what Jesus’ eschatology is all about. Israel’s history is drawing to its climax.</w:t>
      </w:r>
      <w:r>
        <w:rPr>
          <w:rStyle w:val="FootnoteReference"/>
        </w:rPr>
        <w:footnoteReference w:id="20"/>
      </w:r>
    </w:p>
    <w:p w:rsidR="00415B08" w:rsidRDefault="00415B08" w:rsidP="001D1C6E">
      <w:pPr>
        <w:spacing w:line="240" w:lineRule="auto"/>
        <w:ind w:left="720" w:firstLine="0"/>
      </w:pPr>
    </w:p>
    <w:p w:rsidR="00170A78" w:rsidRDefault="00170A78" w:rsidP="00170A78">
      <w:r>
        <w:t xml:space="preserve">Wright demonstrates that this move </w:t>
      </w:r>
      <w:r w:rsidR="00473035">
        <w:t xml:space="preserve">allows us to assume greater authenticity </w:t>
      </w:r>
      <w:r w:rsidR="00DA3D16">
        <w:t xml:space="preserve">(historicity) </w:t>
      </w:r>
      <w:r>
        <w:t>f</w:t>
      </w:r>
      <w:r w:rsidR="00473035">
        <w:t>or</w:t>
      </w:r>
      <w:r>
        <w:t xml:space="preserve"> Gospel accounts of Jesus’ words and actions </w:t>
      </w:r>
      <w:r w:rsidR="00473035">
        <w:t xml:space="preserve">without </w:t>
      </w:r>
      <w:r w:rsidR="00A93EAA">
        <w:t>considering</w:t>
      </w:r>
      <w:r>
        <w:t xml:space="preserve"> </w:t>
      </w:r>
      <w:r w:rsidR="00DA3D16">
        <w:t xml:space="preserve">his </w:t>
      </w:r>
      <w:r>
        <w:t xml:space="preserve">purposes </w:t>
      </w:r>
      <w:r w:rsidR="00473035">
        <w:t>strange and foreign</w:t>
      </w:r>
      <w:r>
        <w:t xml:space="preserve">. </w:t>
      </w:r>
      <w:r w:rsidR="00473035">
        <w:t xml:space="preserve">He </w:t>
      </w:r>
      <w:r>
        <w:t xml:space="preserve">analyzes Jesus’ public career </w:t>
      </w:r>
      <w:r w:rsidR="00DA3D16">
        <w:t>as</w:t>
      </w:r>
      <w:r>
        <w:t xml:space="preserve"> the practice of the prophet.</w:t>
      </w:r>
    </w:p>
    <w:p w:rsidR="00170A78" w:rsidRDefault="0082785A" w:rsidP="0082785A">
      <w:pPr>
        <w:spacing w:line="240" w:lineRule="auto"/>
        <w:ind w:left="720" w:firstLine="0"/>
      </w:pPr>
      <w:r>
        <w:t xml:space="preserve">He was a </w:t>
      </w:r>
      <w:r>
        <w:rPr>
          <w:i/>
        </w:rPr>
        <w:t>social prophet</w:t>
      </w:r>
      <w:r>
        <w:t xml:space="preserve">, not predicting some distant future event, nor speaking of the end of the world, but, like the ancient Hebrew prophets, protesting against injustice and oppression within the society of his day. He uttered prophetic oracles, and engaged in prophetic actions, threatening divine judgment (of a this-worldly nature) against those who persisted in the evils he denounced. Finally, he was a </w:t>
      </w:r>
      <w:r>
        <w:rPr>
          <w:i/>
        </w:rPr>
        <w:t>movement-founder</w:t>
      </w:r>
      <w:r>
        <w:t xml:space="preserve">, or perhaps </w:t>
      </w:r>
      <w:r>
        <w:lastRenderedPageBreak/>
        <w:t xml:space="preserve">a </w:t>
      </w:r>
      <w:r>
        <w:rPr>
          <w:i/>
        </w:rPr>
        <w:t>movement-catalyst</w:t>
      </w:r>
      <w:r>
        <w:t>: a movement, that is, came into existence around Jesus during his lifetime…</w:t>
      </w:r>
      <w:r>
        <w:rPr>
          <w:rStyle w:val="FootnoteReference"/>
        </w:rPr>
        <w:footnoteReference w:id="21"/>
      </w:r>
      <w:r w:rsidR="00170A78">
        <w:t xml:space="preserve"> </w:t>
      </w:r>
    </w:p>
    <w:p w:rsidR="00415B08" w:rsidRDefault="00415B08" w:rsidP="001D1C6E">
      <w:pPr>
        <w:spacing w:line="240" w:lineRule="auto"/>
        <w:ind w:left="720" w:firstLine="0"/>
      </w:pPr>
    </w:p>
    <w:p w:rsidR="0082785A" w:rsidRDefault="0082785A" w:rsidP="0082785A">
      <w:r>
        <w:t xml:space="preserve">Wright finds Jesus, like the Old Testament prophets, proclaiming the kingdom through words and actions, </w:t>
      </w:r>
      <w:r w:rsidR="00DA3D16">
        <w:t xml:space="preserve">both </w:t>
      </w:r>
      <w:r>
        <w:t>often symbolic and rich in resonance with the story of the nation of Israel. In this light, Jesus’ frequently repeated call to repent had a twofold meaning: “returning to YHWH so th</w:t>
      </w:r>
      <w:r w:rsidR="00473035">
        <w:t>at the exile may come to an end [and]</w:t>
      </w:r>
      <w:r>
        <w:t xml:space="preserve"> renunciation of nationalist violence. It was an eschatological call. And it was a political call.”</w:t>
      </w:r>
    </w:p>
    <w:p w:rsidR="0082785A" w:rsidRDefault="00BD2796" w:rsidP="0082785A">
      <w:r>
        <w:t xml:space="preserve">This view of </w:t>
      </w:r>
      <w:r w:rsidR="0052164E">
        <w:t xml:space="preserve">Jesus as a prophet is consistent with Walter </w:t>
      </w:r>
      <w:proofErr w:type="spellStart"/>
      <w:r w:rsidR="0052164E">
        <w:t>Brueggemann’s</w:t>
      </w:r>
      <w:proofErr w:type="spellEnd"/>
      <w:r w:rsidR="0052164E">
        <w:t xml:space="preserve"> description of the ro</w:t>
      </w:r>
      <w:r>
        <w:t>le of the Hebrew prophets: 1) Jesus</w:t>
      </w:r>
      <w:r w:rsidR="0052164E">
        <w:t xml:space="preserve"> imagined a social world different from the one in which he and his people found themselves; 2) He criticized the current world order in a way that tapped into private and public grief (see esp. Mt. 23:37); and 3) He energized a movement that spread quickly and continues to this day.</w:t>
      </w:r>
      <w:r w:rsidR="00DA3D16">
        <w:t xml:space="preserve"> </w:t>
      </w:r>
    </w:p>
    <w:p w:rsidR="00305E71" w:rsidRDefault="00473035" w:rsidP="0082785A">
      <w:proofErr w:type="spellStart"/>
      <w:r>
        <w:t>Prophethood</w:t>
      </w:r>
      <w:proofErr w:type="spellEnd"/>
      <w:r>
        <w:t xml:space="preserve"> in the </w:t>
      </w:r>
      <w:proofErr w:type="spellStart"/>
      <w:r w:rsidRPr="003B1DFB">
        <w:rPr>
          <w:i/>
        </w:rPr>
        <w:t>Risale-i</w:t>
      </w:r>
      <w:proofErr w:type="spellEnd"/>
      <w:r w:rsidRPr="003B1DFB">
        <w:rPr>
          <w:i/>
        </w:rPr>
        <w:t xml:space="preserve"> </w:t>
      </w:r>
      <w:proofErr w:type="spellStart"/>
      <w:r w:rsidRPr="003B1DFB">
        <w:rPr>
          <w:i/>
        </w:rPr>
        <w:t>Nur</w:t>
      </w:r>
      <w:proofErr w:type="spellEnd"/>
    </w:p>
    <w:p w:rsidR="00773FCB" w:rsidRDefault="0012691A" w:rsidP="00773FCB">
      <w:r>
        <w:t xml:space="preserve">Said </w:t>
      </w:r>
      <w:proofErr w:type="spellStart"/>
      <w:r>
        <w:t>Nursi’s</w:t>
      </w:r>
      <w:proofErr w:type="spellEnd"/>
      <w:r>
        <w:t xml:space="preserve"> views </w:t>
      </w:r>
      <w:r w:rsidR="00473035">
        <w:t xml:space="preserve">of prophecy, </w:t>
      </w:r>
      <w:proofErr w:type="spellStart"/>
      <w:r w:rsidR="00473035">
        <w:t>prophethood</w:t>
      </w:r>
      <w:proofErr w:type="spellEnd"/>
      <w:r w:rsidR="00473035">
        <w:t>, and in particula</w:t>
      </w:r>
      <w:r>
        <w:t xml:space="preserve">r the </w:t>
      </w:r>
      <w:proofErr w:type="spellStart"/>
      <w:r>
        <w:t>prophethood</w:t>
      </w:r>
      <w:proofErr w:type="spellEnd"/>
      <w:r>
        <w:t xml:space="preserve"> of Muhammad are</w:t>
      </w:r>
      <w:r w:rsidR="00473035">
        <w:t xml:space="preserve"> complex and extensive. This essay lacks space, and this writer lacks the expertise, to do justice t</w:t>
      </w:r>
      <w:r w:rsidR="00833C57">
        <w:t>o the</w:t>
      </w:r>
      <w:r>
        <w:t>ir</w:t>
      </w:r>
      <w:r w:rsidR="00833C57">
        <w:t xml:space="preserve"> depth</w:t>
      </w:r>
      <w:r w:rsidR="00473035">
        <w:t xml:space="preserve">. </w:t>
      </w:r>
      <w:r>
        <w:t>Note, however, that the discussion above of prophets in Judaism and Christianity has taken</w:t>
      </w:r>
      <w:r w:rsidR="00833C57">
        <w:t xml:space="preserve"> a </w:t>
      </w:r>
      <w:r w:rsidR="00833C57" w:rsidRPr="00833C57">
        <w:rPr>
          <w:i/>
        </w:rPr>
        <w:t>functional</w:t>
      </w:r>
      <w:r w:rsidR="00833C57">
        <w:t xml:space="preserve"> approach, asking about the purposes, activities, and aims of prophets and prophecy. Therefore, </w:t>
      </w:r>
      <w:r w:rsidR="00773FCB">
        <w:t>we will identify excerpts</w:t>
      </w:r>
      <w:r w:rsidR="00833C57">
        <w:t xml:space="preserve"> from </w:t>
      </w:r>
      <w:r w:rsidR="00773FCB">
        <w:t xml:space="preserve">the </w:t>
      </w:r>
      <w:proofErr w:type="spellStart"/>
      <w:r w:rsidR="00773FCB" w:rsidRPr="003B1DFB">
        <w:rPr>
          <w:i/>
        </w:rPr>
        <w:t>Risale-i</w:t>
      </w:r>
      <w:proofErr w:type="spellEnd"/>
      <w:r w:rsidR="00773FCB" w:rsidRPr="003B1DFB">
        <w:rPr>
          <w:i/>
        </w:rPr>
        <w:t xml:space="preserve"> </w:t>
      </w:r>
      <w:proofErr w:type="spellStart"/>
      <w:r w:rsidR="00773FCB" w:rsidRPr="003B1DFB">
        <w:rPr>
          <w:i/>
        </w:rPr>
        <w:t>Nur</w:t>
      </w:r>
      <w:proofErr w:type="spellEnd"/>
      <w:r w:rsidR="00773FCB">
        <w:t xml:space="preserve"> </w:t>
      </w:r>
      <w:r w:rsidR="00833C57">
        <w:t xml:space="preserve">that </w:t>
      </w:r>
      <w:r w:rsidR="00DA3D16">
        <w:t xml:space="preserve">may </w:t>
      </w:r>
      <w:r w:rsidR="00773FCB">
        <w:t xml:space="preserve">shed light on </w:t>
      </w:r>
      <w:r>
        <w:t xml:space="preserve">a functional </w:t>
      </w:r>
      <w:r w:rsidR="00773FCB">
        <w:t xml:space="preserve">view of </w:t>
      </w:r>
      <w:r w:rsidR="00833C57">
        <w:t>prophecy.</w:t>
      </w:r>
      <w:r w:rsidR="00833C57">
        <w:rPr>
          <w:rStyle w:val="FootnoteReference"/>
        </w:rPr>
        <w:footnoteReference w:id="22"/>
      </w:r>
      <w:r w:rsidR="00DA3D16">
        <w:t xml:space="preserve"> </w:t>
      </w:r>
    </w:p>
    <w:p w:rsidR="00773FCB" w:rsidRDefault="00876889" w:rsidP="00773FCB">
      <w:pPr>
        <w:pStyle w:val="ListParagraph"/>
        <w:ind w:left="0"/>
      </w:pPr>
      <w:r>
        <w:t xml:space="preserve">Ian Markham and </w:t>
      </w:r>
      <w:proofErr w:type="spellStart"/>
      <w:r>
        <w:t>Suendam</w:t>
      </w:r>
      <w:proofErr w:type="spellEnd"/>
      <w:r>
        <w:t xml:space="preserve"> </w:t>
      </w:r>
      <w:proofErr w:type="spellStart"/>
      <w:r>
        <w:t>Birinci</w:t>
      </w:r>
      <w:proofErr w:type="spellEnd"/>
      <w:r>
        <w:t xml:space="preserve"> </w:t>
      </w:r>
      <w:proofErr w:type="spellStart"/>
      <w:r>
        <w:t>Pirim</w:t>
      </w:r>
      <w:proofErr w:type="spellEnd"/>
      <w:r>
        <w:t xml:space="preserve"> write that </w:t>
      </w:r>
      <w:proofErr w:type="spellStart"/>
      <w:r w:rsidR="00305E71">
        <w:t>Nursi</w:t>
      </w:r>
      <w:proofErr w:type="spellEnd"/>
      <w:r w:rsidR="00305E71">
        <w:t xml:space="preserve"> </w:t>
      </w:r>
      <w:r>
        <w:t>“</w:t>
      </w:r>
      <w:r w:rsidR="00305E71">
        <w:t>defines creation and the universe as a book, like the Qur’an, teaching us of our creator.</w:t>
      </w:r>
      <w:r>
        <w:t>”</w:t>
      </w:r>
      <w:r>
        <w:rPr>
          <w:rStyle w:val="FootnoteReference"/>
        </w:rPr>
        <w:footnoteReference w:id="23"/>
      </w:r>
      <w:r w:rsidR="00833C57">
        <w:t xml:space="preserve"> </w:t>
      </w:r>
      <w:r w:rsidR="009A53D8">
        <w:t xml:space="preserve">Without special guidance, however, humans do not follow God’s order. For that reason, he </w:t>
      </w:r>
      <w:r w:rsidR="004E7785">
        <w:t>gives</w:t>
      </w:r>
      <w:r w:rsidR="009A53D8">
        <w:t xml:space="preserve"> </w:t>
      </w:r>
      <w:proofErr w:type="spellStart"/>
      <w:r w:rsidR="009A53D8">
        <w:t>Prophethood</w:t>
      </w:r>
      <w:proofErr w:type="spellEnd"/>
      <w:r w:rsidR="009A53D8">
        <w:t xml:space="preserve"> </w:t>
      </w:r>
      <w:r w:rsidR="004E7785">
        <w:t xml:space="preserve">a privileged </w:t>
      </w:r>
      <w:r w:rsidR="004E7785">
        <w:lastRenderedPageBreak/>
        <w:t xml:space="preserve">position. In </w:t>
      </w:r>
      <w:r w:rsidR="004E7785" w:rsidRPr="00773FCB">
        <w:rPr>
          <w:i/>
        </w:rPr>
        <w:t xml:space="preserve">The </w:t>
      </w:r>
      <w:proofErr w:type="spellStart"/>
      <w:r w:rsidR="004E7785" w:rsidRPr="00773FCB">
        <w:rPr>
          <w:i/>
        </w:rPr>
        <w:t>Reasonings</w:t>
      </w:r>
      <w:proofErr w:type="spellEnd"/>
      <w:r w:rsidR="004E7785">
        <w:t xml:space="preserve"> he calls it “the central point of human existence.” It is “that upon which the most fundamental purposes of existence and creation are centered, is indispensable for human life and existence.” </w:t>
      </w:r>
    </w:p>
    <w:p w:rsidR="002E378B" w:rsidRDefault="002E378B" w:rsidP="00CD786D">
      <w:pPr>
        <w:ind w:firstLine="0"/>
      </w:pPr>
      <w:r>
        <w:tab/>
      </w:r>
      <w:r w:rsidR="00A93EAA">
        <w:t>W</w:t>
      </w:r>
      <w:r w:rsidR="00876889">
        <w:t xml:space="preserve">ith our focus on function, we may ask what role or purpose makes </w:t>
      </w:r>
      <w:proofErr w:type="spellStart"/>
      <w:r w:rsidR="00876889">
        <w:t>Prophethood</w:t>
      </w:r>
      <w:proofErr w:type="spellEnd"/>
      <w:r w:rsidR="00876889">
        <w:t xml:space="preserve"> so crucial. </w:t>
      </w:r>
      <w:r>
        <w:t>As Angli</w:t>
      </w:r>
      <w:r w:rsidR="00CD786D">
        <w:t xml:space="preserve">can theologian Aubrey Moore </w:t>
      </w:r>
      <w:r>
        <w:t xml:space="preserve">observed, </w:t>
      </w:r>
      <w:r w:rsidR="00C5401A">
        <w:t xml:space="preserve">the </w:t>
      </w:r>
      <w:r w:rsidR="00C5401A">
        <w:rPr>
          <w:i/>
          <w:iCs/>
        </w:rPr>
        <w:t>sine qua non</w:t>
      </w:r>
      <w:r w:rsidR="00C5401A">
        <w:t xml:space="preserve"> for religion is a personal relationship between humankind and the Divine – “a kinship between ourselves and that on which we depend.”</w:t>
      </w:r>
      <w:r w:rsidR="00C5401A">
        <w:rPr>
          <w:rStyle w:val="FootnoteReference"/>
        </w:rPr>
        <w:footnoteReference w:id="24"/>
      </w:r>
      <w:r w:rsidR="00C5401A">
        <w:t xml:space="preserve"> We see God as “the highest category within our reach,” the highest moral good.</w:t>
      </w:r>
      <w:r w:rsidR="001F7F0A">
        <w:t xml:space="preserve"> </w:t>
      </w:r>
      <w:r w:rsidR="00CD786D">
        <w:t>All monotheisms must somehow explain the gap between the perfection of the deity and observable behavior in human societies. In a se</w:t>
      </w:r>
      <w:r w:rsidR="00876889">
        <w:t xml:space="preserve">nse, </w:t>
      </w:r>
      <w:proofErr w:type="spellStart"/>
      <w:r w:rsidR="00876889">
        <w:t>Nursi</w:t>
      </w:r>
      <w:proofErr w:type="spellEnd"/>
      <w:r w:rsidR="00876889">
        <w:t xml:space="preserve"> uses the concept of </w:t>
      </w:r>
      <w:proofErr w:type="spellStart"/>
      <w:r w:rsidR="00876889">
        <w:t>P</w:t>
      </w:r>
      <w:r w:rsidR="00CD786D">
        <w:t>rophethood</w:t>
      </w:r>
      <w:proofErr w:type="spellEnd"/>
      <w:r w:rsidR="00CD786D">
        <w:t xml:space="preserve"> to preserve </w:t>
      </w:r>
      <w:r w:rsidR="00876889">
        <w:t xml:space="preserve">confidence in </w:t>
      </w:r>
      <w:r w:rsidR="00CD786D">
        <w:t xml:space="preserve">God’s order in the face of human disorder. </w:t>
      </w:r>
    </w:p>
    <w:p w:rsidR="00773FCB" w:rsidRDefault="00773FCB" w:rsidP="00274330">
      <w:pPr>
        <w:pStyle w:val="ListParagraph"/>
        <w:spacing w:line="240" w:lineRule="auto"/>
        <w:ind w:firstLine="0"/>
      </w:pPr>
      <w:r>
        <w:t xml:space="preserve">The Maker does nothing without a purpose; there are many instances of wisdom in His every act. There is an order in everything in the universe, down to the things that are seemingly insignificant. Nothing is neglected in creation, and humanity needs a guide on its way to eternity. All these realities demonstrate the necessity of the institution of </w:t>
      </w:r>
      <w:proofErr w:type="spellStart"/>
      <w:r>
        <w:t>Prophethood</w:t>
      </w:r>
      <w:proofErr w:type="spellEnd"/>
      <w:r>
        <w:t>.</w:t>
      </w:r>
      <w:r w:rsidR="00D94B51">
        <w:rPr>
          <w:rStyle w:val="FootnoteReference"/>
        </w:rPr>
        <w:footnoteReference w:id="25"/>
      </w:r>
    </w:p>
    <w:p w:rsidR="00274330" w:rsidRDefault="00274330" w:rsidP="00274330">
      <w:pPr>
        <w:pStyle w:val="ListParagraph"/>
        <w:spacing w:line="240" w:lineRule="auto"/>
        <w:ind w:firstLine="0"/>
      </w:pPr>
    </w:p>
    <w:p w:rsidR="00274330" w:rsidRDefault="007A51DA" w:rsidP="00274330">
      <w:r>
        <w:t xml:space="preserve">In fulfilling this role, </w:t>
      </w:r>
      <w:r w:rsidR="00773FCB">
        <w:t xml:space="preserve">Prophets </w:t>
      </w:r>
      <w:r>
        <w:t>become m</w:t>
      </w:r>
      <w:r w:rsidR="00773FCB">
        <w:t>ediat</w:t>
      </w:r>
      <w:r>
        <w:t>ors</w:t>
      </w:r>
      <w:r w:rsidR="00773FCB">
        <w:t xml:space="preserve"> between </w:t>
      </w:r>
      <w:r>
        <w:t>God and h</w:t>
      </w:r>
      <w:r w:rsidR="00274330">
        <w:t>umanity</w:t>
      </w:r>
      <w:r>
        <w:t xml:space="preserve">. </w:t>
      </w:r>
      <w:proofErr w:type="spellStart"/>
      <w:r w:rsidR="00024750">
        <w:t>Nursi</w:t>
      </w:r>
      <w:proofErr w:type="spellEnd"/>
      <w:r w:rsidR="00024750">
        <w:t xml:space="preserve"> is deeply skeptical of the i</w:t>
      </w:r>
      <w:r w:rsidR="00A93EAA">
        <w:t>dea that</w:t>
      </w:r>
      <w:r w:rsidR="00024750">
        <w:t xml:space="preserve"> proper boundaries and standards of justice for humanity</w:t>
      </w:r>
      <w:r w:rsidR="00A93EAA">
        <w:t xml:space="preserve"> will emerge from philosophy</w:t>
      </w:r>
      <w:r w:rsidR="00024750">
        <w:t xml:space="preserve">. </w:t>
      </w:r>
      <w:r w:rsidR="00876889">
        <w:t>T</w:t>
      </w:r>
      <w:r w:rsidR="00274330">
        <w:t>he discipline look</w:t>
      </w:r>
      <w:r w:rsidR="0012691A">
        <w:t>s</w:t>
      </w:r>
      <w:r w:rsidR="00274330">
        <w:t xml:space="preserve"> at the surface of creation and </w:t>
      </w:r>
      <w:r w:rsidR="0012691A">
        <w:t>is</w:t>
      </w:r>
      <w:r w:rsidR="00274330">
        <w:t xml:space="preserve"> unable to discover deeper meanings. He </w:t>
      </w:r>
      <w:r w:rsidR="00024750">
        <w:t xml:space="preserve">illustrates </w:t>
      </w:r>
      <w:r w:rsidR="00274330">
        <w:t xml:space="preserve">this point </w:t>
      </w:r>
      <w:r w:rsidR="00024750">
        <w:t>through a parable of a wealthy ruler who creates a Qur’an out of precious jewels and then asks a “European philosopher” and a Muslim scholar to evaluate the product</w:t>
      </w:r>
      <w:r w:rsidR="00274330">
        <w:t>. T</w:t>
      </w:r>
      <w:r w:rsidR="00024750">
        <w:t>he philosopher analyses the physical properties of the jewels without understanding that they constitute a book that conveys meaning.</w:t>
      </w:r>
      <w:r w:rsidR="00024750">
        <w:rPr>
          <w:rStyle w:val="FootnoteReference"/>
        </w:rPr>
        <w:footnoteReference w:id="26"/>
      </w:r>
      <w:r w:rsidR="00024750">
        <w:t xml:space="preserve"> </w:t>
      </w:r>
    </w:p>
    <w:p w:rsidR="00274330" w:rsidRDefault="00274330" w:rsidP="00274330">
      <w:proofErr w:type="spellStart"/>
      <w:r>
        <w:lastRenderedPageBreak/>
        <w:t>Prophethood</w:t>
      </w:r>
      <w:proofErr w:type="spellEnd"/>
      <w:r>
        <w:t>, by contrast, brings the Divine perspective to bear on human behavior. This intervention is needed because of the limitlessness which the Creator has bestowed on humans</w:t>
      </w:r>
      <w:r w:rsidR="00C169D4">
        <w:t xml:space="preserve">, who </w:t>
      </w:r>
      <w:r w:rsidR="0070448F">
        <w:t xml:space="preserve">are </w:t>
      </w:r>
      <w:r w:rsidR="00CD786D">
        <w:t xml:space="preserve">not only </w:t>
      </w:r>
      <w:r w:rsidR="0070448F">
        <w:t xml:space="preserve">limitless in potential, but also with regard to ambition, uncontrolled thoughts, lust, and anger. </w:t>
      </w:r>
      <w:r>
        <w:t>Without guidance</w:t>
      </w:r>
      <w:r w:rsidR="00CD786D">
        <w:t>,</w:t>
      </w:r>
      <w:r>
        <w:t xml:space="preserve"> we </w:t>
      </w:r>
      <w:r w:rsidR="0012691A">
        <w:t xml:space="preserve">tend to </w:t>
      </w:r>
      <w:r>
        <w:t xml:space="preserve">use our freedom in ways that are harmful to ourselves, one another, and creation. </w:t>
      </w:r>
      <w:r w:rsidR="0070448F">
        <w:t xml:space="preserve">In order for human societies to function well, economically, civically, and culturally, </w:t>
      </w:r>
      <w:r w:rsidR="002E378B">
        <w:t xml:space="preserve">these tendencies must be </w:t>
      </w:r>
      <w:r w:rsidR="00CD786D">
        <w:t>“</w:t>
      </w:r>
      <w:r w:rsidR="002E378B">
        <w:t>restrained and educated.</w:t>
      </w:r>
      <w:r w:rsidR="00CD786D">
        <w:t>”</w:t>
      </w:r>
      <w:r w:rsidR="002E378B">
        <w:t xml:space="preserve"> </w:t>
      </w:r>
    </w:p>
    <w:p w:rsidR="0070448F" w:rsidRDefault="00274330" w:rsidP="0070448F">
      <w:pPr>
        <w:spacing w:line="240" w:lineRule="auto"/>
        <w:ind w:left="720" w:firstLine="0"/>
      </w:pPr>
      <w:r>
        <w:t>…humans need to live together, cooperate with one another, and exchange their products among themselves. The satisfaction of this need requires justice and the existence of certain rules, as the desires, potentials, and faculties of humanity are not restricted from birth, and so can be the cause of aggression and injustice.</w:t>
      </w:r>
      <w:r w:rsidR="00876889">
        <w:rPr>
          <w:rStyle w:val="FootnoteReference"/>
        </w:rPr>
        <w:footnoteReference w:id="27"/>
      </w:r>
    </w:p>
    <w:p w:rsidR="0070448F" w:rsidRDefault="0070448F" w:rsidP="0070448F">
      <w:pPr>
        <w:spacing w:line="240" w:lineRule="auto"/>
        <w:ind w:left="720" w:firstLine="0"/>
      </w:pPr>
    </w:p>
    <w:p w:rsidR="0070448F" w:rsidRDefault="002E378B" w:rsidP="0070448F">
      <w:r>
        <w:t xml:space="preserve">Prophets bring knowledge of Divine order into the human realm. </w:t>
      </w:r>
      <w:r w:rsidR="0070448F">
        <w:t>In the Nineteenth Word he goes so far as to say that</w:t>
      </w:r>
      <w:r w:rsidR="00041314">
        <w:t>,</w:t>
      </w:r>
      <w:r w:rsidR="0070448F">
        <w:t xml:space="preserve"> “If there were no </w:t>
      </w:r>
      <w:proofErr w:type="spellStart"/>
      <w:r w:rsidR="0070448F">
        <w:t>Prophethood</w:t>
      </w:r>
      <w:proofErr w:type="spellEnd"/>
      <w:r w:rsidR="0070448F">
        <w:t>, humanity would have come from a chaotic world and his world would have been thrown into complete chaos.”</w:t>
      </w:r>
      <w:r>
        <w:t xml:space="preserve"> </w:t>
      </w:r>
      <w:r w:rsidR="00CD786D">
        <w:t xml:space="preserve">In short, </w:t>
      </w:r>
      <w:r w:rsidR="00041314">
        <w:t xml:space="preserve">he seems to be saying, </w:t>
      </w:r>
      <w:r w:rsidR="00CD786D">
        <w:t xml:space="preserve">God would not be known. This comment suggests that, for </w:t>
      </w:r>
      <w:proofErr w:type="spellStart"/>
      <w:r w:rsidR="00CD786D">
        <w:t>Nursi</w:t>
      </w:r>
      <w:proofErr w:type="spellEnd"/>
      <w:r w:rsidR="00CD786D">
        <w:t xml:space="preserve">, </w:t>
      </w:r>
      <w:r>
        <w:t xml:space="preserve">knowledge of God comes </w:t>
      </w:r>
      <w:r w:rsidR="00CD786D">
        <w:t xml:space="preserve">at least partly </w:t>
      </w:r>
      <w:r>
        <w:t xml:space="preserve">through the experience of justice and love. </w:t>
      </w:r>
    </w:p>
    <w:p w:rsidR="00D94B51" w:rsidRDefault="007A51DA" w:rsidP="001F7F0A">
      <w:r>
        <w:t xml:space="preserve">What enables </w:t>
      </w:r>
      <w:r w:rsidR="00024750">
        <w:t>prophet</w:t>
      </w:r>
      <w:r w:rsidR="0012691A">
        <w:t xml:space="preserve">s </w:t>
      </w:r>
      <w:r>
        <w:t xml:space="preserve">to fulfill this role, </w:t>
      </w:r>
      <w:proofErr w:type="spellStart"/>
      <w:r>
        <w:t>Nursi</w:t>
      </w:r>
      <w:proofErr w:type="spellEnd"/>
      <w:r>
        <w:t xml:space="preserve"> suggests, is their </w:t>
      </w:r>
      <w:r w:rsidR="002E378B">
        <w:t>aware</w:t>
      </w:r>
      <w:r w:rsidR="00CD786D">
        <w:t>ness</w:t>
      </w:r>
      <w:r w:rsidR="002E378B">
        <w:t xml:space="preserve"> </w:t>
      </w:r>
      <w:r w:rsidR="00CD786D">
        <w:t xml:space="preserve">of </w:t>
      </w:r>
      <w:r w:rsidR="002E378B">
        <w:t>utter dependence on God.</w:t>
      </w:r>
      <w:r>
        <w:t xml:space="preserve"> </w:t>
      </w:r>
      <w:r w:rsidR="009A712E">
        <w:t xml:space="preserve">In the Thirtieth Word, </w:t>
      </w:r>
      <w:proofErr w:type="spellStart"/>
      <w:r w:rsidR="009A712E">
        <w:t>Nursi</w:t>
      </w:r>
      <w:proofErr w:type="spellEnd"/>
      <w:r w:rsidR="009A712E">
        <w:t xml:space="preserve"> </w:t>
      </w:r>
      <w:r w:rsidR="00876889">
        <w:t>further develops</w:t>
      </w:r>
      <w:r w:rsidR="009A712E">
        <w:t xml:space="preserve"> the difference between philosophy and prophecy as guides f</w:t>
      </w:r>
      <w:r w:rsidR="00D94B51">
        <w:t>or humanity. His image is that</w:t>
      </w:r>
      <w:r w:rsidR="001F7F0A">
        <w:t xml:space="preserve"> “</w:t>
      </w:r>
      <w:proofErr w:type="spellStart"/>
      <w:r w:rsidR="009A712E">
        <w:t>prophethood</w:t>
      </w:r>
      <w:proofErr w:type="spellEnd"/>
      <w:r w:rsidR="009A712E">
        <w:t xml:space="preserve"> takes hold of one </w:t>
      </w:r>
      <w:r w:rsidR="00D8169F">
        <w:t xml:space="preserve">face of </w:t>
      </w:r>
      <w:r w:rsidR="00D94B51">
        <w:t xml:space="preserve">the </w:t>
      </w:r>
      <w:r w:rsidR="001F7F0A">
        <w:t>‘</w:t>
      </w:r>
      <w:r w:rsidR="009A712E">
        <w:t>I</w:t>
      </w:r>
      <w:r w:rsidR="00D94B51">
        <w:t>,</w:t>
      </w:r>
      <w:r w:rsidR="001F7F0A">
        <w:t>’</w:t>
      </w:r>
      <w:r w:rsidR="009A712E">
        <w:t xml:space="preserve"> and philosophy takes hold of the other… The First Face, which is the face of </w:t>
      </w:r>
      <w:proofErr w:type="spellStart"/>
      <w:proofErr w:type="gramStart"/>
      <w:r w:rsidR="00D8169F">
        <w:t>prophethood</w:t>
      </w:r>
      <w:proofErr w:type="spellEnd"/>
      <w:proofErr w:type="gramEnd"/>
      <w:r w:rsidR="00D8169F">
        <w:t>: It is the origin of shee</w:t>
      </w:r>
      <w:r w:rsidR="00D94B51">
        <w:t xml:space="preserve">r worship. That is to say, the </w:t>
      </w:r>
      <w:r w:rsidR="001F7F0A">
        <w:t>‘</w:t>
      </w:r>
      <w:r w:rsidR="00D8169F">
        <w:t>I</w:t>
      </w:r>
      <w:r w:rsidR="001F7F0A">
        <w:t>’</w:t>
      </w:r>
      <w:r w:rsidR="00D8169F">
        <w:t xml:space="preserve"> knows </w:t>
      </w:r>
      <w:proofErr w:type="gramStart"/>
      <w:r w:rsidR="00D8169F">
        <w:t>itself</w:t>
      </w:r>
      <w:proofErr w:type="gramEnd"/>
      <w:r w:rsidR="00D8169F">
        <w:t xml:space="preserve"> to be a bondsman. It realizes that it serves one other than itself.</w:t>
      </w:r>
      <w:r w:rsidR="001F7F0A">
        <w:t>”</w:t>
      </w:r>
    </w:p>
    <w:p w:rsidR="00D8169F" w:rsidRDefault="00C169D4" w:rsidP="00024750">
      <w:r>
        <w:t>F</w:t>
      </w:r>
      <w:r w:rsidR="006818E8">
        <w:t xml:space="preserve">rom the perspective of the prophet, existence is predicated on the existence of the divine other. It is the fecund creativity of that other that </w:t>
      </w:r>
      <w:r w:rsidR="001F7F0A">
        <w:t>makes and sustains</w:t>
      </w:r>
      <w:r w:rsidR="006818E8">
        <w:t xml:space="preserve"> existence. Acknowledging God’s absolute sovereignty gives the prophet access to truth and meaning. By contrast, </w:t>
      </w:r>
      <w:r w:rsidR="006818E8">
        <w:lastRenderedPageBreak/>
        <w:t>philosophy finds no inherent meaning</w:t>
      </w:r>
      <w:r w:rsidR="001F7F0A">
        <w:t xml:space="preserve"> in anything</w:t>
      </w:r>
      <w:r w:rsidR="006818E8">
        <w:t xml:space="preserve">, except what </w:t>
      </w:r>
      <w:r w:rsidR="001F7F0A">
        <w:t xml:space="preserve">meaning </w:t>
      </w:r>
      <w:r w:rsidR="006818E8">
        <w:t>it creates itself.</w:t>
      </w:r>
      <w:r w:rsidR="0012691A">
        <w:t xml:space="preserve"> This false sense of ownership (everything </w:t>
      </w:r>
      <w:r w:rsidR="00876889">
        <w:t xml:space="preserve">actually </w:t>
      </w:r>
      <w:r w:rsidR="0012691A">
        <w:t>belongs to the Creator) leads to a will to power</w:t>
      </w:r>
      <w:r w:rsidR="00D94B51">
        <w:t xml:space="preserve">, </w:t>
      </w:r>
      <w:r w:rsidR="00876889">
        <w:t>which</w:t>
      </w:r>
      <w:r w:rsidR="00D94B51">
        <w:t xml:space="preserve"> </w:t>
      </w:r>
      <w:r w:rsidR="001F7F0A">
        <w:t>supports systems of</w:t>
      </w:r>
      <w:r w:rsidR="00D94B51">
        <w:t xml:space="preserve"> dominat</w:t>
      </w:r>
      <w:r w:rsidR="001F7F0A">
        <w:t>i</w:t>
      </w:r>
      <w:r w:rsidR="00D94B51">
        <w:t>o</w:t>
      </w:r>
      <w:r w:rsidR="001F7F0A">
        <w:t>n</w:t>
      </w:r>
      <w:r w:rsidR="0012691A">
        <w:t>.</w:t>
      </w:r>
    </w:p>
    <w:p w:rsidR="0012691A" w:rsidRDefault="0012691A" w:rsidP="00D94B51">
      <w:pPr>
        <w:spacing w:line="240" w:lineRule="auto"/>
        <w:ind w:left="720" w:firstLine="0"/>
      </w:pPr>
      <w:r>
        <w:t>It says, “</w:t>
      </w:r>
      <w:proofErr w:type="gramStart"/>
      <w:r>
        <w:t>all</w:t>
      </w:r>
      <w:proofErr w:type="gramEnd"/>
      <w:r>
        <w:t xml:space="preserve"> power to the stron</w:t>
      </w:r>
      <w:r w:rsidR="00D94B51">
        <w:t>gest.” “The winner takes all,” and “In power there is right.” It has given moral support to tyranny, encouraged despots, and urged oppressors to claim divinity.</w:t>
      </w:r>
      <w:r w:rsidR="00D94B51">
        <w:rPr>
          <w:rStyle w:val="FootnoteReference"/>
        </w:rPr>
        <w:footnoteReference w:id="28"/>
      </w:r>
    </w:p>
    <w:p w:rsidR="00876889" w:rsidRDefault="00876889" w:rsidP="00D94B51">
      <w:pPr>
        <w:spacing w:line="240" w:lineRule="auto"/>
        <w:ind w:left="720" w:firstLine="0"/>
      </w:pPr>
    </w:p>
    <w:p w:rsidR="00D94B51" w:rsidRDefault="00D94B51" w:rsidP="00024750">
      <w:r>
        <w:t xml:space="preserve">Thus </w:t>
      </w:r>
      <w:proofErr w:type="spellStart"/>
      <w:r>
        <w:t>Nursi</w:t>
      </w:r>
      <w:proofErr w:type="spellEnd"/>
      <w:r>
        <w:t xml:space="preserve"> </w:t>
      </w:r>
      <w:r w:rsidR="00876889">
        <w:t>sees p</w:t>
      </w:r>
      <w:r>
        <w:t xml:space="preserve">rophecy as the bulwark against the distortions that lead to systems </w:t>
      </w:r>
      <w:r w:rsidR="001F7F0A">
        <w:t>of</w:t>
      </w:r>
      <w:r>
        <w:t xml:space="preserve"> domination, exploitation, and violence. </w:t>
      </w:r>
      <w:r w:rsidR="00C169D4">
        <w:t>P</w:t>
      </w:r>
      <w:r w:rsidR="001F7F0A">
        <w:t>rophets a</w:t>
      </w:r>
      <w:r w:rsidR="00C169D4">
        <w:t>re</w:t>
      </w:r>
      <w:r w:rsidR="001F7F0A">
        <w:t xml:space="preserve"> leaders and educators whose role is to bring the human order in line with the Divine. “Only through </w:t>
      </w:r>
      <w:proofErr w:type="spellStart"/>
      <w:r w:rsidR="001F7F0A">
        <w:t>Prophethood</w:t>
      </w:r>
      <w:proofErr w:type="spellEnd"/>
      <w:r w:rsidR="001F7F0A">
        <w:t xml:space="preserve"> can the perfect orderliness of the universe, with whatever is in it and whatever occurs in it, be perceived adequately</w:t>
      </w:r>
      <w:r w:rsidR="00876889">
        <w:t xml:space="preserve">. </w:t>
      </w:r>
      <w:r w:rsidR="001F7F0A">
        <w:t>The balance and order of human life depend on the ability to perceive this universal order.”</w:t>
      </w:r>
      <w:r w:rsidR="00876889">
        <w:rPr>
          <w:rStyle w:val="FootnoteReference"/>
        </w:rPr>
        <w:footnoteReference w:id="29"/>
      </w:r>
    </w:p>
    <w:p w:rsidR="001F7F0A" w:rsidRDefault="00F65407" w:rsidP="00024750">
      <w:r>
        <w:t>Conclus</w:t>
      </w:r>
      <w:r w:rsidR="001F7F0A">
        <w:t>ion</w:t>
      </w:r>
    </w:p>
    <w:p w:rsidR="00F65407" w:rsidRDefault="00F65407" w:rsidP="00C97C8E">
      <w:r>
        <w:t xml:space="preserve">The discussion above affirms the central importance of prophecy in the Abrahamic faiths and demonstrates the value of defining how we use those terms. I believe that, </w:t>
      </w:r>
      <w:r w:rsidR="009A23A6">
        <w:t xml:space="preserve">working </w:t>
      </w:r>
      <w:r w:rsidR="00A93EAA">
        <w:t xml:space="preserve">at </w:t>
      </w:r>
      <w:r w:rsidR="009A23A6">
        <w:t>a fairly low</w:t>
      </w:r>
      <w:r w:rsidR="00C97C8E">
        <w:t xml:space="preserve"> level of abstraction</w:t>
      </w:r>
      <w:r>
        <w:t xml:space="preserve">, we may </w:t>
      </w:r>
      <w:r w:rsidR="009A23A6">
        <w:t>make</w:t>
      </w:r>
      <w:r w:rsidR="00A93EAA">
        <w:t xml:space="preserve"> </w:t>
      </w:r>
      <w:r>
        <w:t xml:space="preserve">the following statements </w:t>
      </w:r>
      <w:r w:rsidR="007A51DA">
        <w:t>about prophecy and prophets</w:t>
      </w:r>
      <w:r>
        <w:t>.</w:t>
      </w:r>
    </w:p>
    <w:p w:rsidR="003D35D2" w:rsidRDefault="00C97C8E" w:rsidP="00C97C8E">
      <w:r>
        <w:t xml:space="preserve">1) </w:t>
      </w:r>
      <w:r w:rsidR="00A93EAA">
        <w:t xml:space="preserve">Prophecy </w:t>
      </w:r>
      <w:r w:rsidR="007A51DA">
        <w:t xml:space="preserve">plays a key role in bridging the gap that </w:t>
      </w:r>
      <w:r w:rsidR="00C169D4">
        <w:t xml:space="preserve">invariably </w:t>
      </w:r>
      <w:r w:rsidR="007A51DA">
        <w:t>opens in any society between God’</w:t>
      </w:r>
      <w:r>
        <w:t>s order (love, abundance, justice)</w:t>
      </w:r>
      <w:r w:rsidR="007A51DA">
        <w:t xml:space="preserve"> and human reality</w:t>
      </w:r>
      <w:r>
        <w:t xml:space="preserve"> (competition, scarcity, domination)</w:t>
      </w:r>
      <w:r w:rsidR="007A51DA">
        <w:t>.</w:t>
      </w:r>
      <w:r w:rsidR="00A93EAA">
        <w:t xml:space="preserve"> </w:t>
      </w:r>
    </w:p>
    <w:p w:rsidR="003D35D2" w:rsidRDefault="009A23A6" w:rsidP="00C97C8E">
      <w:r>
        <w:t>2</w:t>
      </w:r>
      <w:r w:rsidR="00A93EAA">
        <w:t>) A</w:t>
      </w:r>
      <w:r w:rsidR="007A51DA">
        <w:t xml:space="preserve"> prophet’s message </w:t>
      </w:r>
      <w:r w:rsidR="00C97C8E">
        <w:t>focuses on</w:t>
      </w:r>
      <w:r w:rsidR="007A51DA">
        <w:t xml:space="preserve"> societal systems more </w:t>
      </w:r>
      <w:r w:rsidR="009025AF">
        <w:t xml:space="preserve">than individual morality, but </w:t>
      </w:r>
      <w:r w:rsidR="007A51DA">
        <w:t xml:space="preserve">personal conduct </w:t>
      </w:r>
      <w:r w:rsidR="009025AF">
        <w:t>is an important</w:t>
      </w:r>
      <w:r w:rsidR="007A51DA">
        <w:t xml:space="preserve"> entailment of social reform.</w:t>
      </w:r>
      <w:r w:rsidR="00A93EAA">
        <w:t xml:space="preserve"> </w:t>
      </w:r>
    </w:p>
    <w:p w:rsidR="003D35D2" w:rsidRDefault="009A23A6" w:rsidP="00C97C8E">
      <w:r>
        <w:t>3</w:t>
      </w:r>
      <w:r w:rsidR="00C97C8E">
        <w:t xml:space="preserve">) </w:t>
      </w:r>
      <w:r w:rsidR="007A51DA">
        <w:t>The prophe</w:t>
      </w:r>
      <w:r>
        <w:t xml:space="preserve">t’s impact comes through a </w:t>
      </w:r>
      <w:r w:rsidR="007A51DA">
        <w:t xml:space="preserve">vivid alternative vision, </w:t>
      </w:r>
      <w:r w:rsidR="00C97C8E">
        <w:t>w</w:t>
      </w:r>
      <w:r w:rsidR="009025AF">
        <w:t>hic</w:t>
      </w:r>
      <w:r w:rsidR="00C97C8E">
        <w:t xml:space="preserve">h </w:t>
      </w:r>
      <w:r w:rsidR="007A51DA">
        <w:t xml:space="preserve">both </w:t>
      </w:r>
      <w:r w:rsidR="00C97C8E">
        <w:t>criticizes</w:t>
      </w:r>
      <w:r w:rsidR="007A51DA">
        <w:t xml:space="preserve"> the status quo and </w:t>
      </w:r>
      <w:r w:rsidR="00C97C8E">
        <w:t xml:space="preserve">energizes others toward </w:t>
      </w:r>
      <w:r w:rsidR="007A51DA">
        <w:t xml:space="preserve">new </w:t>
      </w:r>
      <w:r w:rsidR="00C97C8E">
        <w:t>possibili</w:t>
      </w:r>
      <w:r w:rsidR="007A51DA">
        <w:t>ties.</w:t>
      </w:r>
      <w:r w:rsidR="00C97C8E">
        <w:t xml:space="preserve"> </w:t>
      </w:r>
    </w:p>
    <w:p w:rsidR="003D35D2" w:rsidRDefault="009A23A6" w:rsidP="00C97C8E">
      <w:r>
        <w:lastRenderedPageBreak/>
        <w:t>4</w:t>
      </w:r>
      <w:r w:rsidR="00A93EAA">
        <w:t xml:space="preserve">) </w:t>
      </w:r>
      <w:r w:rsidR="007A51DA">
        <w:t xml:space="preserve">The prophet </w:t>
      </w:r>
      <w:r>
        <w:t>is more focused on God’s order and the priorities they entail (love, justice) than on</w:t>
      </w:r>
      <w:r w:rsidR="007A51DA">
        <w:t xml:space="preserve"> particular social programs.</w:t>
      </w:r>
      <w:r w:rsidR="00C97C8E">
        <w:t xml:space="preserve"> </w:t>
      </w:r>
    </w:p>
    <w:p w:rsidR="00C169D4" w:rsidRDefault="009A23A6" w:rsidP="00C97C8E">
      <w:r>
        <w:t>5</w:t>
      </w:r>
      <w:r w:rsidR="00C97C8E">
        <w:t xml:space="preserve">) </w:t>
      </w:r>
      <w:r w:rsidR="007A51DA">
        <w:t>The prophet’s</w:t>
      </w:r>
      <w:r w:rsidR="00D47757">
        <w:t xml:space="preserve"> </w:t>
      </w:r>
      <w:r>
        <w:t xml:space="preserve">message and </w:t>
      </w:r>
      <w:r w:rsidR="00D47757">
        <w:t>imagination come from God, in particular an awareness of creation’s dependence on the Creator.</w:t>
      </w:r>
    </w:p>
    <w:p w:rsidR="007A51DA" w:rsidRDefault="009A23A6" w:rsidP="00C97C8E">
      <w:r>
        <w:t>6</w:t>
      </w:r>
      <w:r w:rsidR="00D47757">
        <w:t xml:space="preserve">) Prophetic activity </w:t>
      </w:r>
      <w:r>
        <w:t xml:space="preserve">is a catalyst for </w:t>
      </w:r>
      <w:r w:rsidR="00D47757">
        <w:t>change.</w:t>
      </w:r>
    </w:p>
    <w:p w:rsidR="00C97C8E" w:rsidRDefault="00C169D4" w:rsidP="00C97C8E">
      <w:r>
        <w:t>W</w:t>
      </w:r>
      <w:r w:rsidR="009A23A6">
        <w:t>e</w:t>
      </w:r>
      <w:r w:rsidR="00A93EAA">
        <w:t xml:space="preserve"> have seen that we may legitimately refer to </w:t>
      </w:r>
      <w:r w:rsidR="00C97C8E">
        <w:t>Jesus as a prophet</w:t>
      </w:r>
      <w:r w:rsidR="00A93EAA">
        <w:t xml:space="preserve">, without prejudice </w:t>
      </w:r>
      <w:r w:rsidR="009A23A6">
        <w:t>as to</w:t>
      </w:r>
      <w:r w:rsidR="00A93EAA">
        <w:t xml:space="preserve"> what else he might be</w:t>
      </w:r>
      <w:r w:rsidR="00F65407">
        <w:t>:</w:t>
      </w:r>
      <w:r w:rsidR="00C97C8E">
        <w:t xml:space="preserve"> 1) Jesus’ followers described him as a prophet. 2) He used symbolic language and actions to evoke a reality that was counter to the system in which he lived and was inspired by God.</w:t>
      </w:r>
      <w:r w:rsidR="00F65407">
        <w:t xml:space="preserve"> His emphasis was justice. </w:t>
      </w:r>
      <w:r w:rsidR="00C97C8E">
        <w:t>3) He called for national repentance as a way to restore God’s kingdom. 4) He inspired a movement.</w:t>
      </w:r>
    </w:p>
    <w:p w:rsidR="005D0F94" w:rsidRDefault="005837B4" w:rsidP="006D0C35">
      <w:r>
        <w:t xml:space="preserve">Most critically, I believe we find encouragement for the proposition that prophecy may promote shared mission. </w:t>
      </w:r>
      <w:r w:rsidR="006D0C35">
        <w:t>We have found a common</w:t>
      </w:r>
      <w:r>
        <w:t xml:space="preserve"> focus on social reform based on the </w:t>
      </w:r>
      <w:r w:rsidR="00293733">
        <w:t>apprehension of God’s will and order</w:t>
      </w:r>
      <w:r>
        <w:t>, which are rooted in abundance, love, and justice. We have seen that the</w:t>
      </w:r>
      <w:r w:rsidR="009A23A6">
        <w:t xml:space="preserve"> Abrahamic faiths all view p</w:t>
      </w:r>
      <w:r>
        <w:t>rophets as the forefront of transformative</w:t>
      </w:r>
      <w:r w:rsidR="00191983">
        <w:t xml:space="preserve"> movement</w:t>
      </w:r>
      <w:r>
        <w:t xml:space="preserve">s. </w:t>
      </w:r>
    </w:p>
    <w:p w:rsidR="005D0F94" w:rsidRDefault="005D0F94" w:rsidP="00691CE6">
      <w:r>
        <w:t>Today we face enormous challenges</w:t>
      </w:r>
      <w:r w:rsidR="006D0C35">
        <w:t xml:space="preserve"> as a global community: threat of ecological and economic collapse, exploitation of the poor </w:t>
      </w:r>
      <w:r>
        <w:t xml:space="preserve">and vulnerable </w:t>
      </w:r>
      <w:r w:rsidR="006D0C35">
        <w:t xml:space="preserve">carried out transnationally, and a </w:t>
      </w:r>
      <w:r>
        <w:t xml:space="preserve">pervasive </w:t>
      </w:r>
      <w:r w:rsidR="006D0C35">
        <w:t xml:space="preserve">culture </w:t>
      </w:r>
      <w:r>
        <w:t xml:space="preserve">that </w:t>
      </w:r>
      <w:r w:rsidR="006D0C35">
        <w:t xml:space="preserve">treats persons as consumers and </w:t>
      </w:r>
      <w:r>
        <w:t>seduces us in</w:t>
      </w:r>
      <w:r w:rsidR="006D0C35">
        <w:t xml:space="preserve">to </w:t>
      </w:r>
      <w:r>
        <w:t>internalizing that identity.</w:t>
      </w:r>
      <w:r w:rsidR="006D0C35">
        <w:t xml:space="preserve"> </w:t>
      </w:r>
      <w:r w:rsidR="00D47757">
        <w:t xml:space="preserve">The complex nature of these challenges, each of which involves different areas of expertise, can lead to inaction. No person or group possesses all of the skills and insights necessary to provide solutions, nor is there general agreement on the desired outcome. </w:t>
      </w:r>
      <w:r>
        <w:t>Those who seek to defend the status quo attempt to marginalize religious voices as idealistic and impractical.</w:t>
      </w:r>
    </w:p>
    <w:p w:rsidR="00691CE6" w:rsidRDefault="00D47757" w:rsidP="00691CE6">
      <w:r>
        <w:t xml:space="preserve">I </w:t>
      </w:r>
      <w:r w:rsidR="005D0F94">
        <w:t>believe that the current</w:t>
      </w:r>
      <w:r>
        <w:t xml:space="preserve"> situation makes prophecy all the more urgent. </w:t>
      </w:r>
      <w:r w:rsidR="00691CE6">
        <w:t xml:space="preserve">The Abrahamic faiths can stand together in the light of prophecy to, in </w:t>
      </w:r>
      <w:proofErr w:type="spellStart"/>
      <w:r w:rsidR="00691CE6">
        <w:t>Bruggemann’s</w:t>
      </w:r>
      <w:proofErr w:type="spellEnd"/>
      <w:r w:rsidR="00691CE6">
        <w:t xml:space="preserve"> words, “nurture, nourish, </w:t>
      </w:r>
      <w:r w:rsidR="00691CE6">
        <w:lastRenderedPageBreak/>
        <w:t>and evoke a consciousness and perception alternative to the consciousness and perception of the dominant culture around us.”</w:t>
      </w:r>
      <w:r w:rsidR="00691CE6">
        <w:rPr>
          <w:rStyle w:val="FootnoteReference"/>
        </w:rPr>
        <w:footnoteReference w:id="30"/>
      </w:r>
      <w:r w:rsidR="00691CE6">
        <w:t xml:space="preserve"> We can follow </w:t>
      </w:r>
      <w:proofErr w:type="spellStart"/>
      <w:r w:rsidR="00691CE6">
        <w:t>Heschel’s</w:t>
      </w:r>
      <w:proofErr w:type="spellEnd"/>
      <w:r w:rsidR="00691CE6">
        <w:t xml:space="preserve"> call to “hear God’s voice and look at the world from God’s perspective.”</w:t>
      </w:r>
      <w:r w:rsidR="00691CE6">
        <w:rPr>
          <w:rStyle w:val="FootnoteReference"/>
        </w:rPr>
        <w:footnoteReference w:id="31"/>
      </w:r>
      <w:r w:rsidR="00691CE6">
        <w:t xml:space="preserve"> With Said </w:t>
      </w:r>
      <w:proofErr w:type="spellStart"/>
      <w:r w:rsidR="00691CE6">
        <w:t>Nursi</w:t>
      </w:r>
      <w:proofErr w:type="spellEnd"/>
      <w:r w:rsidR="00691CE6">
        <w:t>, we can stand up to “the voice that says, ‘all power to the strongest.’ ‘The winner takes all,’ and ‘In power there is right.’”</w:t>
      </w:r>
      <w:r w:rsidR="00691CE6">
        <w:rPr>
          <w:rStyle w:val="FootnoteReference"/>
        </w:rPr>
        <w:footnoteReference w:id="32"/>
      </w:r>
    </w:p>
    <w:p w:rsidR="00691CE6" w:rsidRDefault="009A23A6" w:rsidP="00691CE6">
      <w:r>
        <w:t>In addition to helping</w:t>
      </w:r>
      <w:r w:rsidR="005D0F94">
        <w:t xml:space="preserve"> the world’s faiths </w:t>
      </w:r>
      <w:r>
        <w:t>to identify</w:t>
      </w:r>
      <w:r w:rsidR="005D0F94">
        <w:t xml:space="preserve"> common values, </w:t>
      </w:r>
      <w:r w:rsidR="00691CE6">
        <w:t>prophecy provides</w:t>
      </w:r>
      <w:r w:rsidR="005D0F94">
        <w:t xml:space="preserve"> an approach that is capable of critique and mobilization prior to the identification of specific plans for reform. Recalling </w:t>
      </w:r>
      <w:proofErr w:type="spellStart"/>
      <w:r w:rsidR="005D0F94">
        <w:t>Brueggemann’s</w:t>
      </w:r>
      <w:proofErr w:type="spellEnd"/>
      <w:r w:rsidR="005D0F94">
        <w:t xml:space="preserve"> maxim that the prophet’s mandate is not to offer a particular plan for addressing a social crisis, but to help people envision a different world</w:t>
      </w:r>
      <w:r>
        <w:t>, prophetic voices from the world’s faiths can offer an agenda focused on the sacredness of creation, the infinite value of each human life, and the principles of love, nonviolence, and refusal to exploit the vulnerable</w:t>
      </w:r>
      <w:r w:rsidR="005D0F94">
        <w:t xml:space="preserve">. </w:t>
      </w:r>
    </w:p>
    <w:p w:rsidR="00191983" w:rsidRDefault="009A23A6" w:rsidP="00691CE6">
      <w:r>
        <w:t>More than ever, the</w:t>
      </w:r>
      <w:r w:rsidR="006D0C35">
        <w:t xml:space="preserve"> </w:t>
      </w:r>
      <w:r>
        <w:t xml:space="preserve">world </w:t>
      </w:r>
      <w:r w:rsidR="006D0C35">
        <w:t>need</w:t>
      </w:r>
      <w:r>
        <w:t>s</w:t>
      </w:r>
      <w:r w:rsidR="002F19FF">
        <w:t xml:space="preserve"> p</w:t>
      </w:r>
      <w:r w:rsidR="006D0C35">
        <w:t xml:space="preserve">rophets </w:t>
      </w:r>
      <w:r>
        <w:t>who</w:t>
      </w:r>
      <w:r w:rsidR="006D0C35">
        <w:t xml:space="preserve"> speak with a common voice on behalf of </w:t>
      </w:r>
      <w:r w:rsidR="002F19FF">
        <w:t xml:space="preserve">all </w:t>
      </w:r>
      <w:r w:rsidR="006D0C35">
        <w:t xml:space="preserve">the </w:t>
      </w:r>
      <w:r w:rsidR="00B251CC">
        <w:t xml:space="preserve">beloved </w:t>
      </w:r>
      <w:r w:rsidR="006D0C35">
        <w:t xml:space="preserve">children of </w:t>
      </w:r>
      <w:r w:rsidR="00B251CC">
        <w:t>our Creator</w:t>
      </w:r>
      <w:r w:rsidR="006D0C35">
        <w:t>.</w:t>
      </w:r>
    </w:p>
    <w:sectPr w:rsidR="00191983" w:rsidSect="00CC73FE">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A64F9" w:rsidRDefault="002A64F9" w:rsidP="009121AA">
      <w:pPr>
        <w:spacing w:line="240" w:lineRule="auto"/>
      </w:pPr>
      <w:r>
        <w:separator/>
      </w:r>
    </w:p>
  </w:endnote>
  <w:endnote w:type="continuationSeparator" w:id="0">
    <w:p w:rsidR="002A64F9" w:rsidRDefault="002A64F9" w:rsidP="009121A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A64F9" w:rsidRDefault="002A64F9" w:rsidP="009121AA">
      <w:pPr>
        <w:spacing w:line="240" w:lineRule="auto"/>
      </w:pPr>
      <w:r>
        <w:separator/>
      </w:r>
    </w:p>
  </w:footnote>
  <w:footnote w:type="continuationSeparator" w:id="0">
    <w:p w:rsidR="002A64F9" w:rsidRDefault="002A64F9" w:rsidP="009121AA">
      <w:pPr>
        <w:spacing w:line="240" w:lineRule="auto"/>
      </w:pPr>
      <w:r>
        <w:continuationSeparator/>
      </w:r>
    </w:p>
  </w:footnote>
  <w:footnote w:id="1">
    <w:p w:rsidR="00E75B0F" w:rsidRPr="00E75B0F" w:rsidRDefault="00E75B0F">
      <w:pPr>
        <w:pStyle w:val="FootnoteText"/>
      </w:pPr>
      <w:r>
        <w:rPr>
          <w:rStyle w:val="FootnoteReference"/>
        </w:rPr>
        <w:footnoteRef/>
      </w:r>
      <w:r>
        <w:t xml:space="preserve"> Walter </w:t>
      </w:r>
      <w:proofErr w:type="spellStart"/>
      <w:r>
        <w:t>Brueggemann</w:t>
      </w:r>
      <w:proofErr w:type="spellEnd"/>
      <w:r>
        <w:t xml:space="preserve">, </w:t>
      </w:r>
      <w:proofErr w:type="gramStart"/>
      <w:r>
        <w:rPr>
          <w:i/>
        </w:rPr>
        <w:t>The</w:t>
      </w:r>
      <w:proofErr w:type="gramEnd"/>
      <w:r>
        <w:rPr>
          <w:i/>
        </w:rPr>
        <w:t xml:space="preserve"> Prophetic Imagination</w:t>
      </w:r>
      <w:r>
        <w:t xml:space="preserve">, Second Edition. </w:t>
      </w:r>
      <w:proofErr w:type="gramStart"/>
      <w:r>
        <w:t xml:space="preserve">(Minneapolis, MN: Augsburg Fortress, 2001), Kindle edition, </w:t>
      </w:r>
      <w:r w:rsidR="00390B64">
        <w:t>“Preface to the Revised Edition.”</w:t>
      </w:r>
      <w:proofErr w:type="gramEnd"/>
    </w:p>
  </w:footnote>
  <w:footnote w:id="2">
    <w:p w:rsidR="00C5271F" w:rsidRDefault="00C5271F">
      <w:pPr>
        <w:pStyle w:val="FootnoteText"/>
      </w:pPr>
      <w:r>
        <w:rPr>
          <w:rStyle w:val="FootnoteReference"/>
        </w:rPr>
        <w:footnoteRef/>
      </w:r>
      <w:r>
        <w:t xml:space="preserve"> </w:t>
      </w:r>
      <w:proofErr w:type="gramStart"/>
      <w:r>
        <w:t>Ibid, “Prophetic Criticism.”</w:t>
      </w:r>
      <w:proofErr w:type="gramEnd"/>
      <w:r>
        <w:t xml:space="preserve"> </w:t>
      </w:r>
    </w:p>
  </w:footnote>
  <w:footnote w:id="3">
    <w:p w:rsidR="00371371" w:rsidRDefault="00371371">
      <w:pPr>
        <w:pStyle w:val="FootnoteText"/>
      </w:pPr>
      <w:r>
        <w:rPr>
          <w:rStyle w:val="FootnoteReference"/>
        </w:rPr>
        <w:footnoteRef/>
      </w:r>
      <w:r>
        <w:t xml:space="preserve"> </w:t>
      </w:r>
      <w:proofErr w:type="gramStart"/>
      <w:r>
        <w:t>Ibid, “Prophetic Energizing.”</w:t>
      </w:r>
      <w:proofErr w:type="gramEnd"/>
    </w:p>
  </w:footnote>
  <w:footnote w:id="4">
    <w:p w:rsidR="00884FCB" w:rsidRDefault="00884FCB">
      <w:pPr>
        <w:pStyle w:val="FootnoteText"/>
      </w:pPr>
      <w:r>
        <w:rPr>
          <w:rStyle w:val="FootnoteReference"/>
        </w:rPr>
        <w:footnoteRef/>
      </w:r>
      <w:r>
        <w:t xml:space="preserve"> </w:t>
      </w:r>
      <w:proofErr w:type="gramStart"/>
      <w:r>
        <w:t>Ibid, “The Alternative Community of Moses.”</w:t>
      </w:r>
      <w:proofErr w:type="gramEnd"/>
    </w:p>
  </w:footnote>
  <w:footnote w:id="5">
    <w:p w:rsidR="00147ED8" w:rsidRDefault="00147ED8">
      <w:pPr>
        <w:pStyle w:val="FootnoteText"/>
      </w:pPr>
      <w:r>
        <w:rPr>
          <w:rStyle w:val="FootnoteReference"/>
        </w:rPr>
        <w:footnoteRef/>
      </w:r>
      <w:r>
        <w:t xml:space="preserve"> Susannah </w:t>
      </w:r>
      <w:proofErr w:type="spellStart"/>
      <w:r>
        <w:t>Heschel</w:t>
      </w:r>
      <w:proofErr w:type="spellEnd"/>
      <w:r>
        <w:t xml:space="preserve">, </w:t>
      </w:r>
      <w:r>
        <w:rPr>
          <w:i/>
        </w:rPr>
        <w:t>The Prophets</w:t>
      </w:r>
      <w:r>
        <w:t xml:space="preserve"> </w:t>
      </w:r>
      <w:r w:rsidR="0079149D">
        <w:t>(</w:t>
      </w:r>
      <w:r>
        <w:t>New York: Perennial Classics, HarperCollins Publishers, 2001)</w:t>
      </w:r>
      <w:r w:rsidR="0079149D">
        <w:t>, xiii.</w:t>
      </w:r>
    </w:p>
  </w:footnote>
  <w:footnote w:id="6">
    <w:p w:rsidR="009121AA" w:rsidRDefault="009121AA">
      <w:pPr>
        <w:pStyle w:val="FootnoteText"/>
      </w:pPr>
      <w:r>
        <w:rPr>
          <w:rStyle w:val="FootnoteReference"/>
        </w:rPr>
        <w:footnoteRef/>
      </w:r>
      <w:r w:rsidR="002C59F5">
        <w:t xml:space="preserve"> See, e.g., Stanley </w:t>
      </w:r>
      <w:proofErr w:type="spellStart"/>
      <w:r w:rsidR="002C59F5">
        <w:t>Hauerwas</w:t>
      </w:r>
      <w:proofErr w:type="spellEnd"/>
      <w:r w:rsidR="002C59F5">
        <w:t xml:space="preserve">, </w:t>
      </w:r>
      <w:r>
        <w:t>“Cross-Shattered Church”</w:t>
      </w:r>
      <w:r w:rsidR="002C59F5">
        <w:t xml:space="preserve"> (Grand Rapids, MI: Brazos Press, 2009), 23.</w:t>
      </w:r>
    </w:p>
  </w:footnote>
  <w:footnote w:id="7">
    <w:p w:rsidR="00C94D98" w:rsidRDefault="00C94D98">
      <w:pPr>
        <w:pStyle w:val="FootnoteText"/>
      </w:pPr>
      <w:r>
        <w:rPr>
          <w:rStyle w:val="FootnoteReference"/>
        </w:rPr>
        <w:footnoteRef/>
      </w:r>
      <w:r w:rsidR="002C59F5">
        <w:t xml:space="preserve"> See </w:t>
      </w:r>
      <w:r w:rsidR="004C45A4">
        <w:t xml:space="preserve">the Apostles and the Nicene Creeds.  </w:t>
      </w:r>
    </w:p>
  </w:footnote>
  <w:footnote w:id="8">
    <w:p w:rsidR="009121AA" w:rsidRDefault="009121AA">
      <w:pPr>
        <w:pStyle w:val="FootnoteText"/>
      </w:pPr>
      <w:r>
        <w:rPr>
          <w:rStyle w:val="FootnoteReference"/>
        </w:rPr>
        <w:footnoteRef/>
      </w:r>
      <w:r>
        <w:t xml:space="preserve"> </w:t>
      </w:r>
      <w:r w:rsidR="005F7899" w:rsidRPr="002B799B">
        <w:t xml:space="preserve">Roger </w:t>
      </w:r>
      <w:proofErr w:type="spellStart"/>
      <w:r w:rsidR="005F7899" w:rsidRPr="002B799B">
        <w:t>Haight</w:t>
      </w:r>
      <w:proofErr w:type="spellEnd"/>
      <w:r w:rsidR="005F7899" w:rsidRPr="002B799B">
        <w:t xml:space="preserve">, </w:t>
      </w:r>
      <w:r w:rsidR="005F7899" w:rsidRPr="002B799B">
        <w:rPr>
          <w:i/>
        </w:rPr>
        <w:t>Jesus: Symbol of God</w:t>
      </w:r>
      <w:r w:rsidR="005F7899" w:rsidRPr="002B799B">
        <w:t xml:space="preserve"> (</w:t>
      </w:r>
      <w:proofErr w:type="spellStart"/>
      <w:r w:rsidR="005F7899" w:rsidRPr="002B799B">
        <w:t>Maryknoll</w:t>
      </w:r>
      <w:proofErr w:type="spellEnd"/>
      <w:r w:rsidR="005F7899" w:rsidRPr="002B799B">
        <w:t xml:space="preserve">, NY: </w:t>
      </w:r>
      <w:proofErr w:type="spellStart"/>
      <w:r w:rsidR="005F7899" w:rsidRPr="002B799B">
        <w:t>Orbis</w:t>
      </w:r>
      <w:proofErr w:type="spellEnd"/>
      <w:r w:rsidR="005F7899" w:rsidRPr="002B799B">
        <w:t xml:space="preserve"> Books, 1999)</w:t>
      </w:r>
      <w:r w:rsidR="005F7899">
        <w:t>, 273-298.</w:t>
      </w:r>
      <w:r>
        <w:t xml:space="preserve"> </w:t>
      </w:r>
      <w:r w:rsidR="00C94D98">
        <w:t xml:space="preserve"> </w:t>
      </w:r>
    </w:p>
  </w:footnote>
  <w:footnote w:id="9">
    <w:p w:rsidR="00C94D98" w:rsidRDefault="00C94D98">
      <w:pPr>
        <w:pStyle w:val="FootnoteText"/>
      </w:pPr>
      <w:r>
        <w:rPr>
          <w:rStyle w:val="FootnoteReference"/>
        </w:rPr>
        <w:footnoteRef/>
      </w:r>
      <w:r w:rsidR="005F7899">
        <w:t xml:space="preserve"> </w:t>
      </w:r>
      <w:proofErr w:type="spellStart"/>
      <w:proofErr w:type="gramStart"/>
      <w:r>
        <w:t>Haight</w:t>
      </w:r>
      <w:proofErr w:type="spellEnd"/>
      <w:r w:rsidR="005F7899">
        <w:t>, 273-298</w:t>
      </w:r>
      <w:r w:rsidR="005123DE">
        <w:t>, summary on 295</w:t>
      </w:r>
      <w:r w:rsidR="005F7899">
        <w:t>.</w:t>
      </w:r>
      <w:proofErr w:type="gramEnd"/>
    </w:p>
  </w:footnote>
  <w:footnote w:id="10">
    <w:p w:rsidR="00A63BBB" w:rsidRDefault="00A63BBB">
      <w:pPr>
        <w:pStyle w:val="FootnoteText"/>
      </w:pPr>
      <w:r>
        <w:rPr>
          <w:rStyle w:val="FootnoteReference"/>
        </w:rPr>
        <w:footnoteRef/>
      </w:r>
      <w:r>
        <w:t xml:space="preserve"> Catholic Encyclopedia, &lt;</w:t>
      </w:r>
      <w:r w:rsidRPr="00A63BBB">
        <w:t>http://www.newadvent.org/cathen/05070c.htm</w:t>
      </w:r>
      <w:proofErr w:type="gramStart"/>
      <w:r>
        <w:t>&gt; ,</w:t>
      </w:r>
      <w:proofErr w:type="gramEnd"/>
      <w:r>
        <w:t xml:space="preserve"> accessed June 27, 2013.</w:t>
      </w:r>
    </w:p>
  </w:footnote>
  <w:footnote w:id="11">
    <w:p w:rsidR="00FC696C" w:rsidRDefault="00FC696C">
      <w:pPr>
        <w:pStyle w:val="FootnoteText"/>
      </w:pPr>
      <w:r>
        <w:rPr>
          <w:rStyle w:val="FootnoteReference"/>
        </w:rPr>
        <w:footnoteRef/>
      </w:r>
      <w:r>
        <w:t xml:space="preserve"> </w:t>
      </w:r>
      <w:r w:rsidR="008C08B8">
        <w:t xml:space="preserve">John </w:t>
      </w:r>
      <w:proofErr w:type="spellStart"/>
      <w:r w:rsidR="008C08B8">
        <w:t>Macquarrie</w:t>
      </w:r>
      <w:proofErr w:type="spellEnd"/>
      <w:r w:rsidR="008C08B8">
        <w:t xml:space="preserve">, </w:t>
      </w:r>
      <w:r w:rsidR="008C08B8">
        <w:rPr>
          <w:i/>
        </w:rPr>
        <w:t>Jesus Christ in Modern Thought</w:t>
      </w:r>
      <w:r w:rsidR="008C08B8">
        <w:t xml:space="preserve"> (London: SCM Press; Philadelphia: Trinity Press International, 1990), 15.</w:t>
      </w:r>
    </w:p>
  </w:footnote>
  <w:footnote w:id="12">
    <w:p w:rsidR="001D22A2" w:rsidRPr="001D22A2" w:rsidRDefault="001D22A2">
      <w:pPr>
        <w:pStyle w:val="FootnoteText"/>
      </w:pPr>
      <w:r>
        <w:rPr>
          <w:rStyle w:val="FootnoteReference"/>
        </w:rPr>
        <w:footnoteRef/>
      </w:r>
      <w:r w:rsidR="008C08B8">
        <w:t xml:space="preserve"> </w:t>
      </w:r>
      <w:proofErr w:type="gramStart"/>
      <w:r w:rsidR="008C08B8">
        <w:t>Ibid, 333, 343.</w:t>
      </w:r>
      <w:proofErr w:type="gramEnd"/>
    </w:p>
  </w:footnote>
  <w:footnote w:id="13">
    <w:p w:rsidR="00955CFB" w:rsidRDefault="00955CFB" w:rsidP="00955CFB">
      <w:pPr>
        <w:pStyle w:val="FootnoteText"/>
      </w:pPr>
      <w:r>
        <w:rPr>
          <w:rStyle w:val="FootnoteReference"/>
        </w:rPr>
        <w:footnoteRef/>
      </w:r>
      <w:r>
        <w:t xml:space="preserve"> </w:t>
      </w:r>
      <w:proofErr w:type="gramStart"/>
      <w:r>
        <w:t>Ibid, 360.</w:t>
      </w:r>
      <w:proofErr w:type="gramEnd"/>
    </w:p>
  </w:footnote>
  <w:footnote w:id="14">
    <w:p w:rsidR="008C08B8" w:rsidRDefault="008C08B8" w:rsidP="008C08B8">
      <w:pPr>
        <w:pStyle w:val="FootnoteText"/>
      </w:pPr>
      <w:r>
        <w:rPr>
          <w:rStyle w:val="FootnoteReference"/>
        </w:rPr>
        <w:footnoteRef/>
      </w:r>
      <w:r>
        <w:t xml:space="preserve"> </w:t>
      </w:r>
      <w:proofErr w:type="gramStart"/>
      <w:r>
        <w:t>Ibid, 346.</w:t>
      </w:r>
      <w:proofErr w:type="gramEnd"/>
    </w:p>
  </w:footnote>
  <w:footnote w:id="15">
    <w:p w:rsidR="00ED790D" w:rsidRDefault="00ED790D">
      <w:pPr>
        <w:pStyle w:val="FootnoteText"/>
      </w:pPr>
      <w:r>
        <w:rPr>
          <w:rStyle w:val="FootnoteReference"/>
        </w:rPr>
        <w:footnoteRef/>
      </w:r>
      <w:r>
        <w:t xml:space="preserve"> </w:t>
      </w:r>
      <w:proofErr w:type="spellStart"/>
      <w:r w:rsidRPr="002B799B">
        <w:t>Haight</w:t>
      </w:r>
      <w:proofErr w:type="spellEnd"/>
      <w:r w:rsidRPr="002B799B">
        <w:t xml:space="preserve">, </w:t>
      </w:r>
      <w:r>
        <w:t>55-118.</w:t>
      </w:r>
    </w:p>
  </w:footnote>
  <w:footnote w:id="16">
    <w:p w:rsidR="000075F0" w:rsidRDefault="000075F0">
      <w:pPr>
        <w:pStyle w:val="FootnoteText"/>
      </w:pPr>
      <w:r>
        <w:rPr>
          <w:rStyle w:val="FootnoteReference"/>
        </w:rPr>
        <w:footnoteRef/>
      </w:r>
      <w:r>
        <w:t xml:space="preserve"> e.g. Mt. 13:57/Mk. 6:4; Mk. 8:28/Mt. 16:14; Mt. 21:11; Mt. 21:46; Mk. 6:14-16; </w:t>
      </w:r>
      <w:proofErr w:type="spellStart"/>
      <w:r>
        <w:t>Lk</w:t>
      </w:r>
      <w:proofErr w:type="spellEnd"/>
      <w:r>
        <w:t xml:space="preserve">. 7:16; </w:t>
      </w:r>
      <w:proofErr w:type="spellStart"/>
      <w:r>
        <w:t>Lk</w:t>
      </w:r>
      <w:proofErr w:type="spellEnd"/>
      <w:r>
        <w:t xml:space="preserve">. 13:33; Jn. 14:19; </w:t>
      </w:r>
      <w:proofErr w:type="spellStart"/>
      <w:r>
        <w:t>Lk</w:t>
      </w:r>
      <w:proofErr w:type="spellEnd"/>
      <w:r>
        <w:t>. 24:19</w:t>
      </w:r>
    </w:p>
  </w:footnote>
  <w:footnote w:id="17">
    <w:p w:rsidR="000075F0" w:rsidRPr="000D41ED" w:rsidRDefault="000075F0">
      <w:pPr>
        <w:pStyle w:val="FootnoteText"/>
      </w:pPr>
      <w:r>
        <w:rPr>
          <w:rStyle w:val="FootnoteReference"/>
        </w:rPr>
        <w:footnoteRef/>
      </w:r>
      <w:r>
        <w:t xml:space="preserve"> </w:t>
      </w:r>
      <w:r w:rsidR="000D41ED">
        <w:t xml:space="preserve">N.T. Wright, </w:t>
      </w:r>
      <w:r w:rsidR="000D41ED">
        <w:rPr>
          <w:i/>
        </w:rPr>
        <w:t xml:space="preserve">Christian Origins and the Question of God, Volume Two, Jesus and the Victory of God </w:t>
      </w:r>
      <w:r w:rsidR="000D41ED">
        <w:t>(London: Society for Promoting Christian Knowledge, 1996), Kindle edition, “Chapter 5: The Praxis of a Prophet, 2) Jesus’ Context”</w:t>
      </w:r>
    </w:p>
  </w:footnote>
  <w:footnote w:id="18">
    <w:p w:rsidR="00A36C6D" w:rsidRPr="0055337C" w:rsidRDefault="00A36C6D" w:rsidP="00A36C6D">
      <w:pPr>
        <w:pStyle w:val="FootnoteText"/>
      </w:pPr>
      <w:r>
        <w:rPr>
          <w:rStyle w:val="FootnoteReference"/>
        </w:rPr>
        <w:footnoteRef/>
      </w:r>
      <w:r>
        <w:t xml:space="preserve"> Albert Schweitzer, </w:t>
      </w:r>
      <w:r w:rsidRPr="0055337C">
        <w:rPr>
          <w:bCs/>
          <w:i/>
          <w:color w:val="000000"/>
        </w:rPr>
        <w:t xml:space="preserve">The Quest of the Historical Jesus: A Critical Study of its Progress from </w:t>
      </w:r>
      <w:proofErr w:type="spellStart"/>
      <w:r w:rsidRPr="0055337C">
        <w:rPr>
          <w:bCs/>
          <w:i/>
          <w:color w:val="000000"/>
        </w:rPr>
        <w:t>Reimarus</w:t>
      </w:r>
      <w:proofErr w:type="spellEnd"/>
      <w:r w:rsidRPr="0055337C">
        <w:rPr>
          <w:bCs/>
          <w:i/>
          <w:color w:val="000000"/>
        </w:rPr>
        <w:t xml:space="preserve"> to </w:t>
      </w:r>
      <w:proofErr w:type="spellStart"/>
      <w:r w:rsidRPr="0055337C">
        <w:rPr>
          <w:bCs/>
          <w:i/>
          <w:color w:val="000000"/>
        </w:rPr>
        <w:t>Wrede</w:t>
      </w:r>
      <w:proofErr w:type="spellEnd"/>
      <w:r>
        <w:rPr>
          <w:bCs/>
          <w:i/>
          <w:color w:val="000000"/>
        </w:rPr>
        <w:t xml:space="preserve"> </w:t>
      </w:r>
      <w:r>
        <w:rPr>
          <w:bCs/>
          <w:color w:val="000000"/>
        </w:rPr>
        <w:t>First German edition, 1906, First English edition 1910.</w:t>
      </w:r>
    </w:p>
  </w:footnote>
  <w:footnote w:id="19">
    <w:p w:rsidR="008F5B99" w:rsidRPr="008F5B99" w:rsidRDefault="008F5B99">
      <w:pPr>
        <w:pStyle w:val="FootnoteText"/>
      </w:pPr>
      <w:r>
        <w:rPr>
          <w:rStyle w:val="FootnoteReference"/>
        </w:rPr>
        <w:footnoteRef/>
      </w:r>
      <w:r>
        <w:t xml:space="preserve"> Wright, </w:t>
      </w:r>
      <w:r>
        <w:rPr>
          <w:i/>
        </w:rPr>
        <w:t xml:space="preserve">Jesus and the Victory of God, </w:t>
      </w:r>
      <w:r>
        <w:t xml:space="preserve">Introduction, Chapter 2: Heavy Traffic on the </w:t>
      </w:r>
      <w:proofErr w:type="spellStart"/>
      <w:r>
        <w:t>Wredebahn</w:t>
      </w:r>
      <w:proofErr w:type="spellEnd"/>
      <w:r>
        <w:t>.</w:t>
      </w:r>
    </w:p>
  </w:footnote>
  <w:footnote w:id="20">
    <w:p w:rsidR="001D1C6E" w:rsidRDefault="001D1C6E">
      <w:pPr>
        <w:pStyle w:val="FootnoteText"/>
      </w:pPr>
      <w:r>
        <w:rPr>
          <w:rStyle w:val="FootnoteReference"/>
        </w:rPr>
        <w:footnoteRef/>
      </w:r>
      <w:r>
        <w:t xml:space="preserve"> Ibid, Part 2, Profile of a Prophet.</w:t>
      </w:r>
    </w:p>
  </w:footnote>
  <w:footnote w:id="21">
    <w:p w:rsidR="0082785A" w:rsidRDefault="0082785A">
      <w:pPr>
        <w:pStyle w:val="FootnoteText"/>
      </w:pPr>
      <w:r>
        <w:rPr>
          <w:rStyle w:val="FootnoteReference"/>
        </w:rPr>
        <w:footnoteRef/>
      </w:r>
      <w:r w:rsidR="0052164E">
        <w:t xml:space="preserve"> </w:t>
      </w:r>
      <w:proofErr w:type="gramStart"/>
      <w:r w:rsidR="0052164E">
        <w:t>Ibid, Chapter 2.</w:t>
      </w:r>
      <w:proofErr w:type="gramEnd"/>
      <w:r w:rsidR="0052164E">
        <w:t xml:space="preserve"> This description is Wright’s rendering of Marcus Borg’s characterization of Jesus.</w:t>
      </w:r>
    </w:p>
  </w:footnote>
  <w:footnote w:id="22">
    <w:p w:rsidR="00833C57" w:rsidRPr="00833C57" w:rsidRDefault="00833C57">
      <w:pPr>
        <w:pStyle w:val="FootnoteText"/>
      </w:pPr>
      <w:r>
        <w:rPr>
          <w:rStyle w:val="FootnoteReference"/>
        </w:rPr>
        <w:footnoteRef/>
      </w:r>
      <w:r>
        <w:t xml:space="preserve"> Chosen from excerpts selected by Ian Markham and </w:t>
      </w:r>
      <w:proofErr w:type="spellStart"/>
      <w:r>
        <w:t>Suendam</w:t>
      </w:r>
      <w:proofErr w:type="spellEnd"/>
      <w:r>
        <w:t xml:space="preserve"> </w:t>
      </w:r>
      <w:proofErr w:type="spellStart"/>
      <w:r>
        <w:t>Birinci</w:t>
      </w:r>
      <w:proofErr w:type="spellEnd"/>
      <w:r>
        <w:t xml:space="preserve"> </w:t>
      </w:r>
      <w:proofErr w:type="spellStart"/>
      <w:r>
        <w:t>Pirim</w:t>
      </w:r>
      <w:proofErr w:type="spellEnd"/>
      <w:r>
        <w:t xml:space="preserve">, </w:t>
      </w:r>
      <w:r>
        <w:rPr>
          <w:i/>
        </w:rPr>
        <w:t xml:space="preserve">An Introduction to Said </w:t>
      </w:r>
      <w:proofErr w:type="spellStart"/>
      <w:r>
        <w:rPr>
          <w:i/>
        </w:rPr>
        <w:t>Nursi</w:t>
      </w:r>
      <w:proofErr w:type="spellEnd"/>
      <w:r>
        <w:rPr>
          <w:i/>
        </w:rPr>
        <w:t>: Life Thought and Writings</w:t>
      </w:r>
      <w:r>
        <w:t xml:space="preserve">, (Surrey, UK and Burlington, VT, US: </w:t>
      </w:r>
      <w:proofErr w:type="spellStart"/>
      <w:r>
        <w:t>Ashgate</w:t>
      </w:r>
      <w:proofErr w:type="spellEnd"/>
      <w:r>
        <w:t xml:space="preserve"> Publishing, 2011)</w:t>
      </w:r>
      <w:r w:rsidR="00876889">
        <w:t>, Kindle edition</w:t>
      </w:r>
      <w:r>
        <w:t>.</w:t>
      </w:r>
    </w:p>
  </w:footnote>
  <w:footnote w:id="23">
    <w:p w:rsidR="00876889" w:rsidRDefault="00876889">
      <w:pPr>
        <w:pStyle w:val="FootnoteText"/>
      </w:pPr>
      <w:r>
        <w:rPr>
          <w:rStyle w:val="FootnoteReference"/>
        </w:rPr>
        <w:footnoteRef/>
      </w:r>
      <w:r>
        <w:t xml:space="preserve"> Ibid, “What Makes </w:t>
      </w:r>
      <w:proofErr w:type="spellStart"/>
      <w:r>
        <w:t>Bediuzzaman</w:t>
      </w:r>
      <w:proofErr w:type="spellEnd"/>
      <w:r>
        <w:t xml:space="preserve"> Said </w:t>
      </w:r>
      <w:proofErr w:type="spellStart"/>
      <w:r>
        <w:t>Nirsi</w:t>
      </w:r>
      <w:proofErr w:type="spellEnd"/>
      <w:r>
        <w:t xml:space="preserve"> and the </w:t>
      </w:r>
      <w:proofErr w:type="spellStart"/>
      <w:r>
        <w:t>Risale</w:t>
      </w:r>
      <w:proofErr w:type="spellEnd"/>
      <w:r>
        <w:t xml:space="preserve">-I </w:t>
      </w:r>
      <w:proofErr w:type="spellStart"/>
      <w:r>
        <w:t>Nur</w:t>
      </w:r>
      <w:proofErr w:type="spellEnd"/>
      <w:r>
        <w:t xml:space="preserve"> Important?”</w:t>
      </w:r>
    </w:p>
  </w:footnote>
  <w:footnote w:id="24">
    <w:p w:rsidR="00C5401A" w:rsidRDefault="00C5401A" w:rsidP="00C5401A">
      <w:pPr>
        <w:pStyle w:val="FootnoteText"/>
      </w:pPr>
      <w:r>
        <w:rPr>
          <w:rStyle w:val="FootnoteReference"/>
        </w:rPr>
        <w:footnoteRef/>
      </w:r>
      <w:r>
        <w:t xml:space="preserve"> Aubrey Moore, “The Christian Doctrine of God,” in </w:t>
      </w:r>
      <w:r>
        <w:rPr>
          <w:i/>
          <w:iCs/>
        </w:rPr>
        <w:t>Lux Mundi: A series of studies in the religion of the incarnation</w:t>
      </w:r>
      <w:r>
        <w:t xml:space="preserve">, Charles Gore, ed., (Ulan Press, 2012), page 46. </w:t>
      </w:r>
      <w:proofErr w:type="gramStart"/>
      <w:r>
        <w:t>First published 1891.</w:t>
      </w:r>
      <w:proofErr w:type="gramEnd"/>
    </w:p>
  </w:footnote>
  <w:footnote w:id="25">
    <w:p w:rsidR="00D94B51" w:rsidRPr="00D94B51" w:rsidRDefault="00D94B51">
      <w:pPr>
        <w:pStyle w:val="FootnoteText"/>
      </w:pPr>
      <w:r>
        <w:rPr>
          <w:rStyle w:val="FootnoteReference"/>
        </w:rPr>
        <w:footnoteRef/>
      </w:r>
      <w:r>
        <w:t xml:space="preserve"> </w:t>
      </w:r>
      <w:r>
        <w:rPr>
          <w:i/>
        </w:rPr>
        <w:t xml:space="preserve">The </w:t>
      </w:r>
      <w:proofErr w:type="spellStart"/>
      <w:r>
        <w:rPr>
          <w:i/>
        </w:rPr>
        <w:t>Reasonings</w:t>
      </w:r>
      <w:proofErr w:type="spellEnd"/>
      <w:r>
        <w:t xml:space="preserve">, </w:t>
      </w:r>
      <w:proofErr w:type="spellStart"/>
      <w:r>
        <w:t>TheThird</w:t>
      </w:r>
      <w:proofErr w:type="spellEnd"/>
      <w:r>
        <w:t xml:space="preserve"> Part, </w:t>
      </w:r>
      <w:proofErr w:type="gramStart"/>
      <w:r>
        <w:t>The</w:t>
      </w:r>
      <w:proofErr w:type="gramEnd"/>
      <w:r>
        <w:t xml:space="preserve"> Second Purpose, An Indication.</w:t>
      </w:r>
    </w:p>
  </w:footnote>
  <w:footnote w:id="26">
    <w:p w:rsidR="00024750" w:rsidRPr="00024750" w:rsidRDefault="00024750">
      <w:pPr>
        <w:pStyle w:val="FootnoteText"/>
      </w:pPr>
      <w:r>
        <w:rPr>
          <w:rStyle w:val="FootnoteReference"/>
        </w:rPr>
        <w:footnoteRef/>
      </w:r>
      <w:r>
        <w:t xml:space="preserve"> </w:t>
      </w:r>
      <w:r>
        <w:rPr>
          <w:i/>
        </w:rPr>
        <w:t>The Twelfth Word</w:t>
      </w:r>
      <w:r>
        <w:t>, First Principle.</w:t>
      </w:r>
    </w:p>
  </w:footnote>
  <w:footnote w:id="27">
    <w:p w:rsidR="00876889" w:rsidRPr="00876889" w:rsidRDefault="00876889">
      <w:pPr>
        <w:pStyle w:val="FootnoteText"/>
        <w:rPr>
          <w:i/>
        </w:rPr>
      </w:pPr>
      <w:r>
        <w:rPr>
          <w:rStyle w:val="FootnoteReference"/>
        </w:rPr>
        <w:footnoteRef/>
      </w:r>
      <w:r>
        <w:t xml:space="preserve"> </w:t>
      </w:r>
      <w:proofErr w:type="gramStart"/>
      <w:r>
        <w:rPr>
          <w:i/>
        </w:rPr>
        <w:t xml:space="preserve">The </w:t>
      </w:r>
      <w:proofErr w:type="spellStart"/>
      <w:r>
        <w:rPr>
          <w:i/>
        </w:rPr>
        <w:t>Reasonings</w:t>
      </w:r>
      <w:proofErr w:type="spellEnd"/>
      <w:r>
        <w:rPr>
          <w:i/>
        </w:rPr>
        <w:t>.</w:t>
      </w:r>
      <w:proofErr w:type="gramEnd"/>
    </w:p>
  </w:footnote>
  <w:footnote w:id="28">
    <w:p w:rsidR="00D94B51" w:rsidRPr="00D94B51" w:rsidRDefault="00D94B51">
      <w:pPr>
        <w:pStyle w:val="FootnoteText"/>
      </w:pPr>
      <w:r>
        <w:rPr>
          <w:rStyle w:val="FootnoteReference"/>
        </w:rPr>
        <w:footnoteRef/>
      </w:r>
      <w:r>
        <w:t xml:space="preserve"> </w:t>
      </w:r>
      <w:r>
        <w:rPr>
          <w:i/>
        </w:rPr>
        <w:t>The Thirtieth Word</w:t>
      </w:r>
      <w:r>
        <w:t>, “The  First Aim”</w:t>
      </w:r>
    </w:p>
  </w:footnote>
  <w:footnote w:id="29">
    <w:p w:rsidR="00876889" w:rsidRPr="00876889" w:rsidRDefault="00876889">
      <w:pPr>
        <w:pStyle w:val="FootnoteText"/>
        <w:rPr>
          <w:i/>
        </w:rPr>
      </w:pPr>
      <w:r>
        <w:rPr>
          <w:rStyle w:val="FootnoteReference"/>
        </w:rPr>
        <w:footnoteRef/>
      </w:r>
      <w:r>
        <w:t xml:space="preserve"> </w:t>
      </w:r>
      <w:proofErr w:type="gramStart"/>
      <w:r>
        <w:rPr>
          <w:i/>
        </w:rPr>
        <w:t xml:space="preserve">The </w:t>
      </w:r>
      <w:proofErr w:type="spellStart"/>
      <w:r>
        <w:rPr>
          <w:i/>
        </w:rPr>
        <w:t>Reasonings</w:t>
      </w:r>
      <w:proofErr w:type="spellEnd"/>
      <w:r>
        <w:rPr>
          <w:i/>
        </w:rPr>
        <w:t>.</w:t>
      </w:r>
      <w:proofErr w:type="gramEnd"/>
    </w:p>
  </w:footnote>
  <w:footnote w:id="30">
    <w:p w:rsidR="00691CE6" w:rsidRDefault="00691CE6" w:rsidP="00691CE6">
      <w:pPr>
        <w:pStyle w:val="FootnoteText"/>
      </w:pPr>
      <w:r>
        <w:rPr>
          <w:rStyle w:val="FootnoteReference"/>
        </w:rPr>
        <w:footnoteRef/>
      </w:r>
      <w:r>
        <w:t xml:space="preserve"> </w:t>
      </w:r>
      <w:proofErr w:type="gramStart"/>
      <w:r>
        <w:t>Ibid, “The Alternative Community of Moses.”</w:t>
      </w:r>
      <w:proofErr w:type="gramEnd"/>
    </w:p>
  </w:footnote>
  <w:footnote w:id="31">
    <w:p w:rsidR="00691CE6" w:rsidRDefault="00691CE6" w:rsidP="00691CE6">
      <w:pPr>
        <w:pStyle w:val="FootnoteText"/>
      </w:pPr>
      <w:r>
        <w:rPr>
          <w:rStyle w:val="FootnoteReference"/>
        </w:rPr>
        <w:footnoteRef/>
      </w:r>
      <w:r>
        <w:t xml:space="preserve"> Susannah </w:t>
      </w:r>
      <w:proofErr w:type="spellStart"/>
      <w:r>
        <w:t>Heschel</w:t>
      </w:r>
      <w:proofErr w:type="spellEnd"/>
      <w:r>
        <w:t xml:space="preserve">, </w:t>
      </w:r>
      <w:r>
        <w:rPr>
          <w:i/>
        </w:rPr>
        <w:t>The Prophets</w:t>
      </w:r>
      <w:r>
        <w:t xml:space="preserve"> (New York: Perennial Classics, HarperCollins Publishers, 2001), xiii.</w:t>
      </w:r>
    </w:p>
  </w:footnote>
  <w:footnote w:id="32">
    <w:p w:rsidR="00691CE6" w:rsidRPr="00D94B51" w:rsidRDefault="00691CE6" w:rsidP="00691CE6">
      <w:pPr>
        <w:pStyle w:val="FootnoteText"/>
      </w:pPr>
      <w:r>
        <w:rPr>
          <w:rStyle w:val="FootnoteReference"/>
        </w:rPr>
        <w:footnoteRef/>
      </w:r>
      <w:r>
        <w:t xml:space="preserve"> </w:t>
      </w:r>
      <w:r>
        <w:rPr>
          <w:i/>
        </w:rPr>
        <w:t>The Thirtieth Word</w:t>
      </w:r>
      <w:r>
        <w:t>, “The  First Aim”</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5631CB0"/>
    <w:multiLevelType w:val="hybridMultilevel"/>
    <w:tmpl w:val="F1C47B40"/>
    <w:lvl w:ilvl="0" w:tplc="729415D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52275868"/>
    <w:multiLevelType w:val="hybridMultilevel"/>
    <w:tmpl w:val="D1A08F9E"/>
    <w:lvl w:ilvl="0" w:tplc="0F9E928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72A8"/>
    <w:rsid w:val="000075F0"/>
    <w:rsid w:val="000110F2"/>
    <w:rsid w:val="00024750"/>
    <w:rsid w:val="00041314"/>
    <w:rsid w:val="00090E41"/>
    <w:rsid w:val="0009759B"/>
    <w:rsid w:val="000A2148"/>
    <w:rsid w:val="000D41ED"/>
    <w:rsid w:val="0012691A"/>
    <w:rsid w:val="001276AD"/>
    <w:rsid w:val="00147ED8"/>
    <w:rsid w:val="0015229E"/>
    <w:rsid w:val="00170A78"/>
    <w:rsid w:val="00191983"/>
    <w:rsid w:val="001D1C6E"/>
    <w:rsid w:val="001D22A2"/>
    <w:rsid w:val="001F7F0A"/>
    <w:rsid w:val="0021746A"/>
    <w:rsid w:val="00274330"/>
    <w:rsid w:val="00293733"/>
    <w:rsid w:val="002A2C11"/>
    <w:rsid w:val="002A64F9"/>
    <w:rsid w:val="002C59F5"/>
    <w:rsid w:val="002C7811"/>
    <w:rsid w:val="002E2BCF"/>
    <w:rsid w:val="002E378B"/>
    <w:rsid w:val="002E56E3"/>
    <w:rsid w:val="002F19FF"/>
    <w:rsid w:val="00305E71"/>
    <w:rsid w:val="0031144A"/>
    <w:rsid w:val="00371371"/>
    <w:rsid w:val="00384F84"/>
    <w:rsid w:val="00390B64"/>
    <w:rsid w:val="003D35D2"/>
    <w:rsid w:val="004132BE"/>
    <w:rsid w:val="00414591"/>
    <w:rsid w:val="00415B08"/>
    <w:rsid w:val="00473035"/>
    <w:rsid w:val="004937EC"/>
    <w:rsid w:val="004B10A4"/>
    <w:rsid w:val="004C45A4"/>
    <w:rsid w:val="004C7740"/>
    <w:rsid w:val="004E7785"/>
    <w:rsid w:val="005014B2"/>
    <w:rsid w:val="005123DE"/>
    <w:rsid w:val="0052164E"/>
    <w:rsid w:val="00530EAE"/>
    <w:rsid w:val="0055337C"/>
    <w:rsid w:val="00574470"/>
    <w:rsid w:val="00574F9D"/>
    <w:rsid w:val="005837B4"/>
    <w:rsid w:val="005D0F94"/>
    <w:rsid w:val="005D2F6A"/>
    <w:rsid w:val="005F7899"/>
    <w:rsid w:val="00640676"/>
    <w:rsid w:val="00665CCA"/>
    <w:rsid w:val="006818E8"/>
    <w:rsid w:val="00691CE6"/>
    <w:rsid w:val="00692D23"/>
    <w:rsid w:val="006B1413"/>
    <w:rsid w:val="006D0C35"/>
    <w:rsid w:val="006F0C6F"/>
    <w:rsid w:val="0070448F"/>
    <w:rsid w:val="00723D3C"/>
    <w:rsid w:val="00773FCB"/>
    <w:rsid w:val="007909B1"/>
    <w:rsid w:val="0079149D"/>
    <w:rsid w:val="007A51DA"/>
    <w:rsid w:val="007E409F"/>
    <w:rsid w:val="007E6288"/>
    <w:rsid w:val="00811BB4"/>
    <w:rsid w:val="00827671"/>
    <w:rsid w:val="0082785A"/>
    <w:rsid w:val="00833C57"/>
    <w:rsid w:val="00865A65"/>
    <w:rsid w:val="00876889"/>
    <w:rsid w:val="00884FCB"/>
    <w:rsid w:val="008A2F0B"/>
    <w:rsid w:val="008C08B8"/>
    <w:rsid w:val="008E366A"/>
    <w:rsid w:val="008F5B99"/>
    <w:rsid w:val="009025AF"/>
    <w:rsid w:val="009045DF"/>
    <w:rsid w:val="009121AA"/>
    <w:rsid w:val="00955CFB"/>
    <w:rsid w:val="00994088"/>
    <w:rsid w:val="009A23A6"/>
    <w:rsid w:val="009A53D8"/>
    <w:rsid w:val="009A712E"/>
    <w:rsid w:val="009B4EFF"/>
    <w:rsid w:val="009D6430"/>
    <w:rsid w:val="00A34DED"/>
    <w:rsid w:val="00A34E87"/>
    <w:rsid w:val="00A36C6D"/>
    <w:rsid w:val="00A63BBB"/>
    <w:rsid w:val="00A93EAA"/>
    <w:rsid w:val="00AD58B6"/>
    <w:rsid w:val="00B13D2C"/>
    <w:rsid w:val="00B251CC"/>
    <w:rsid w:val="00B31CFA"/>
    <w:rsid w:val="00B4597E"/>
    <w:rsid w:val="00BD2796"/>
    <w:rsid w:val="00BD660B"/>
    <w:rsid w:val="00C169D4"/>
    <w:rsid w:val="00C37E27"/>
    <w:rsid w:val="00C5271F"/>
    <w:rsid w:val="00C5401A"/>
    <w:rsid w:val="00C81CC9"/>
    <w:rsid w:val="00C94D98"/>
    <w:rsid w:val="00C97C8E"/>
    <w:rsid w:val="00CC73FE"/>
    <w:rsid w:val="00CD786D"/>
    <w:rsid w:val="00CF25AA"/>
    <w:rsid w:val="00D4600F"/>
    <w:rsid w:val="00D47757"/>
    <w:rsid w:val="00D5098B"/>
    <w:rsid w:val="00D801FC"/>
    <w:rsid w:val="00D8169F"/>
    <w:rsid w:val="00D94B51"/>
    <w:rsid w:val="00DA3D16"/>
    <w:rsid w:val="00DB10F2"/>
    <w:rsid w:val="00DD2EF5"/>
    <w:rsid w:val="00DF12F5"/>
    <w:rsid w:val="00E02E74"/>
    <w:rsid w:val="00E42260"/>
    <w:rsid w:val="00E75B0F"/>
    <w:rsid w:val="00E872AE"/>
    <w:rsid w:val="00ED790D"/>
    <w:rsid w:val="00EE72A8"/>
    <w:rsid w:val="00EE74EE"/>
    <w:rsid w:val="00F65407"/>
    <w:rsid w:val="00F65961"/>
    <w:rsid w:val="00F840E1"/>
    <w:rsid w:val="00FB321B"/>
    <w:rsid w:val="00FC696C"/>
    <w:rsid w:val="00FD469B"/>
    <w:rsid w:val="00FE31DE"/>
    <w:rsid w:val="00FF3F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en-US" w:eastAsia="en-US" w:bidi="ar-SA"/>
      </w:rPr>
    </w:rPrDefault>
    <w:pPrDefault>
      <w:pPr>
        <w:spacing w:line="480" w:lineRule="auto"/>
        <w:ind w:firstLine="7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C73F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semiHidden/>
    <w:unhideWhenUsed/>
    <w:rsid w:val="009121AA"/>
    <w:pPr>
      <w:spacing w:line="240" w:lineRule="auto"/>
    </w:pPr>
    <w:rPr>
      <w:sz w:val="20"/>
      <w:szCs w:val="20"/>
    </w:rPr>
  </w:style>
  <w:style w:type="character" w:customStyle="1" w:styleId="FootnoteTextChar">
    <w:name w:val="Footnote Text Char"/>
    <w:basedOn w:val="DefaultParagraphFont"/>
    <w:link w:val="FootnoteText"/>
    <w:uiPriority w:val="99"/>
    <w:semiHidden/>
    <w:rsid w:val="009121AA"/>
    <w:rPr>
      <w:sz w:val="20"/>
      <w:szCs w:val="20"/>
    </w:rPr>
  </w:style>
  <w:style w:type="character" w:styleId="FootnoteReference">
    <w:name w:val="footnote reference"/>
    <w:basedOn w:val="DefaultParagraphFont"/>
    <w:semiHidden/>
    <w:unhideWhenUsed/>
    <w:rsid w:val="009121AA"/>
    <w:rPr>
      <w:vertAlign w:val="superscript"/>
    </w:rPr>
  </w:style>
  <w:style w:type="character" w:styleId="Hyperlink">
    <w:name w:val="Hyperlink"/>
    <w:basedOn w:val="DefaultParagraphFont"/>
    <w:uiPriority w:val="99"/>
    <w:unhideWhenUsed/>
    <w:rsid w:val="00A63BBB"/>
    <w:rPr>
      <w:color w:val="0000FF" w:themeColor="hyperlink"/>
      <w:u w:val="single"/>
    </w:rPr>
  </w:style>
  <w:style w:type="paragraph" w:styleId="Header">
    <w:name w:val="header"/>
    <w:basedOn w:val="Normal"/>
    <w:link w:val="HeaderChar"/>
    <w:uiPriority w:val="99"/>
    <w:unhideWhenUsed/>
    <w:rsid w:val="008F5B99"/>
    <w:pPr>
      <w:tabs>
        <w:tab w:val="center" w:pos="4680"/>
        <w:tab w:val="right" w:pos="9360"/>
      </w:tabs>
      <w:spacing w:line="240" w:lineRule="auto"/>
    </w:pPr>
  </w:style>
  <w:style w:type="character" w:customStyle="1" w:styleId="HeaderChar">
    <w:name w:val="Header Char"/>
    <w:basedOn w:val="DefaultParagraphFont"/>
    <w:link w:val="Header"/>
    <w:uiPriority w:val="99"/>
    <w:rsid w:val="008F5B99"/>
  </w:style>
  <w:style w:type="paragraph" w:styleId="Footer">
    <w:name w:val="footer"/>
    <w:basedOn w:val="Normal"/>
    <w:link w:val="FooterChar"/>
    <w:uiPriority w:val="99"/>
    <w:unhideWhenUsed/>
    <w:rsid w:val="008F5B99"/>
    <w:pPr>
      <w:tabs>
        <w:tab w:val="center" w:pos="4680"/>
        <w:tab w:val="right" w:pos="9360"/>
      </w:tabs>
      <w:spacing w:line="240" w:lineRule="auto"/>
    </w:pPr>
  </w:style>
  <w:style w:type="character" w:customStyle="1" w:styleId="FooterChar">
    <w:name w:val="Footer Char"/>
    <w:basedOn w:val="DefaultParagraphFont"/>
    <w:link w:val="Footer"/>
    <w:uiPriority w:val="99"/>
    <w:rsid w:val="008F5B99"/>
  </w:style>
  <w:style w:type="paragraph" w:styleId="ListParagraph">
    <w:name w:val="List Paragraph"/>
    <w:basedOn w:val="Normal"/>
    <w:uiPriority w:val="34"/>
    <w:qFormat/>
    <w:rsid w:val="00773FC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en-US" w:eastAsia="en-US" w:bidi="ar-SA"/>
      </w:rPr>
    </w:rPrDefault>
    <w:pPrDefault>
      <w:pPr>
        <w:spacing w:line="480" w:lineRule="auto"/>
        <w:ind w:firstLine="7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C73F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semiHidden/>
    <w:unhideWhenUsed/>
    <w:rsid w:val="009121AA"/>
    <w:pPr>
      <w:spacing w:line="240" w:lineRule="auto"/>
    </w:pPr>
    <w:rPr>
      <w:sz w:val="20"/>
      <w:szCs w:val="20"/>
    </w:rPr>
  </w:style>
  <w:style w:type="character" w:customStyle="1" w:styleId="FootnoteTextChar">
    <w:name w:val="Footnote Text Char"/>
    <w:basedOn w:val="DefaultParagraphFont"/>
    <w:link w:val="FootnoteText"/>
    <w:uiPriority w:val="99"/>
    <w:semiHidden/>
    <w:rsid w:val="009121AA"/>
    <w:rPr>
      <w:sz w:val="20"/>
      <w:szCs w:val="20"/>
    </w:rPr>
  </w:style>
  <w:style w:type="character" w:styleId="FootnoteReference">
    <w:name w:val="footnote reference"/>
    <w:basedOn w:val="DefaultParagraphFont"/>
    <w:semiHidden/>
    <w:unhideWhenUsed/>
    <w:rsid w:val="009121AA"/>
    <w:rPr>
      <w:vertAlign w:val="superscript"/>
    </w:rPr>
  </w:style>
  <w:style w:type="character" w:styleId="Hyperlink">
    <w:name w:val="Hyperlink"/>
    <w:basedOn w:val="DefaultParagraphFont"/>
    <w:uiPriority w:val="99"/>
    <w:unhideWhenUsed/>
    <w:rsid w:val="00A63BBB"/>
    <w:rPr>
      <w:color w:val="0000FF" w:themeColor="hyperlink"/>
      <w:u w:val="single"/>
    </w:rPr>
  </w:style>
  <w:style w:type="paragraph" w:styleId="Header">
    <w:name w:val="header"/>
    <w:basedOn w:val="Normal"/>
    <w:link w:val="HeaderChar"/>
    <w:uiPriority w:val="99"/>
    <w:unhideWhenUsed/>
    <w:rsid w:val="008F5B99"/>
    <w:pPr>
      <w:tabs>
        <w:tab w:val="center" w:pos="4680"/>
        <w:tab w:val="right" w:pos="9360"/>
      </w:tabs>
      <w:spacing w:line="240" w:lineRule="auto"/>
    </w:pPr>
  </w:style>
  <w:style w:type="character" w:customStyle="1" w:styleId="HeaderChar">
    <w:name w:val="Header Char"/>
    <w:basedOn w:val="DefaultParagraphFont"/>
    <w:link w:val="Header"/>
    <w:uiPriority w:val="99"/>
    <w:rsid w:val="008F5B99"/>
  </w:style>
  <w:style w:type="paragraph" w:styleId="Footer">
    <w:name w:val="footer"/>
    <w:basedOn w:val="Normal"/>
    <w:link w:val="FooterChar"/>
    <w:uiPriority w:val="99"/>
    <w:unhideWhenUsed/>
    <w:rsid w:val="008F5B99"/>
    <w:pPr>
      <w:tabs>
        <w:tab w:val="center" w:pos="4680"/>
        <w:tab w:val="right" w:pos="9360"/>
      </w:tabs>
      <w:spacing w:line="240" w:lineRule="auto"/>
    </w:pPr>
  </w:style>
  <w:style w:type="character" w:customStyle="1" w:styleId="FooterChar">
    <w:name w:val="Footer Char"/>
    <w:basedOn w:val="DefaultParagraphFont"/>
    <w:link w:val="Footer"/>
    <w:uiPriority w:val="99"/>
    <w:rsid w:val="008F5B99"/>
  </w:style>
  <w:style w:type="paragraph" w:styleId="ListParagraph">
    <w:name w:val="List Paragraph"/>
    <w:basedOn w:val="Normal"/>
    <w:uiPriority w:val="34"/>
    <w:qFormat/>
    <w:rsid w:val="00773FC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E936FE-E916-4D6F-8D3A-054117A58A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15</Pages>
  <Words>4072</Words>
  <Characters>23215</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27233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%USERNAME%</cp:lastModifiedBy>
  <cp:revision>3</cp:revision>
  <dcterms:created xsi:type="dcterms:W3CDTF">2013-07-01T01:29:00Z</dcterms:created>
  <dcterms:modified xsi:type="dcterms:W3CDTF">2013-07-01T01:40:00Z</dcterms:modified>
</cp:coreProperties>
</file>