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CD7" w:rsidRPr="002F7DBB" w:rsidRDefault="00773CD7" w:rsidP="00773CD7">
      <w:pPr>
        <w:pStyle w:val="Title"/>
        <w:jc w:val="center"/>
        <w:rPr>
          <w:rFonts w:ascii="Times New Roman" w:hAnsi="Times New Roman" w:cs="Times New Roman"/>
          <w:b/>
          <w:sz w:val="24"/>
          <w:szCs w:val="24"/>
        </w:rPr>
      </w:pPr>
      <w:r w:rsidRPr="002F7DBB">
        <w:rPr>
          <w:rFonts w:ascii="Times New Roman" w:hAnsi="Times New Roman" w:cs="Times New Roman"/>
          <w:b/>
          <w:sz w:val="24"/>
          <w:szCs w:val="24"/>
        </w:rPr>
        <w:t xml:space="preserve">Self in Relation to the Concept of God in </w:t>
      </w:r>
      <w:proofErr w:type="spellStart"/>
      <w:r w:rsidRPr="002F7DBB">
        <w:rPr>
          <w:rFonts w:ascii="Times New Roman" w:hAnsi="Times New Roman" w:cs="Times New Roman"/>
          <w:b/>
          <w:sz w:val="24"/>
          <w:szCs w:val="24"/>
        </w:rPr>
        <w:t>Risale-i</w:t>
      </w:r>
      <w:proofErr w:type="spellEnd"/>
      <w:r w:rsidRPr="002F7DBB">
        <w:rPr>
          <w:rFonts w:ascii="Times New Roman" w:hAnsi="Times New Roman" w:cs="Times New Roman"/>
          <w:b/>
          <w:sz w:val="24"/>
          <w:szCs w:val="24"/>
        </w:rPr>
        <w:t xml:space="preserve"> </w:t>
      </w:r>
      <w:proofErr w:type="spellStart"/>
      <w:r w:rsidRPr="002F7DBB">
        <w:rPr>
          <w:rFonts w:ascii="Times New Roman" w:hAnsi="Times New Roman" w:cs="Times New Roman"/>
          <w:b/>
          <w:sz w:val="24"/>
          <w:szCs w:val="24"/>
        </w:rPr>
        <w:t>Nur</w:t>
      </w:r>
      <w:proofErr w:type="spellEnd"/>
      <w:r w:rsidRPr="002F7DBB">
        <w:rPr>
          <w:rFonts w:ascii="Times New Roman" w:hAnsi="Times New Roman" w:cs="Times New Roman"/>
          <w:b/>
          <w:sz w:val="24"/>
          <w:szCs w:val="24"/>
        </w:rPr>
        <w:t xml:space="preserve"> and in Theological Existentialism</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Philosophers, scientists and theologians wrote extensively on self knowledge and also tried to unravel the dynamics of an individual’s connection with the spiritual or ultimately with God. This connection appears to be a critical path in understanding the secrets of the self. The questions and problems associated with the self and understanding of one him or herself became more obvious from the 19</w:t>
      </w:r>
      <w:r w:rsidRPr="002F7DBB">
        <w:rPr>
          <w:rFonts w:ascii="Times New Roman" w:hAnsi="Times New Roman" w:cs="Times New Roman"/>
          <w:sz w:val="24"/>
          <w:szCs w:val="24"/>
          <w:vertAlign w:val="superscript"/>
        </w:rPr>
        <w:t>th</w:t>
      </w:r>
      <w:r w:rsidRPr="002F7DBB">
        <w:rPr>
          <w:rFonts w:ascii="Times New Roman" w:hAnsi="Times New Roman" w:cs="Times New Roman"/>
          <w:sz w:val="24"/>
          <w:szCs w:val="24"/>
        </w:rPr>
        <w:t xml:space="preserve"> century on. On this subject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Nursi’s</w:t>
      </w:r>
      <w:proofErr w:type="spellEnd"/>
      <w:r w:rsidRPr="002F7DBB">
        <w:rPr>
          <w:rFonts w:ascii="Times New Roman" w:hAnsi="Times New Roman" w:cs="Times New Roman"/>
          <w:sz w:val="24"/>
          <w:szCs w:val="24"/>
        </w:rPr>
        <w:t xml:space="preserve"> concept of </w:t>
      </w:r>
      <w:proofErr w:type="spellStart"/>
      <w:proofErr w:type="gramStart"/>
      <w:r w:rsidRPr="002F7DBB">
        <w:rPr>
          <w:rFonts w:ascii="Times New Roman" w:hAnsi="Times New Roman" w:cs="Times New Roman"/>
          <w:sz w:val="24"/>
          <w:szCs w:val="24"/>
        </w:rPr>
        <w:t>Ene</w:t>
      </w:r>
      <w:proofErr w:type="spellEnd"/>
      <w:proofErr w:type="gramEnd"/>
      <w:r w:rsidRPr="002F7DBB">
        <w:rPr>
          <w:rFonts w:ascii="Times New Roman" w:hAnsi="Times New Roman" w:cs="Times New Roman"/>
          <w:sz w:val="24"/>
          <w:szCs w:val="24"/>
        </w:rPr>
        <w:t xml:space="preserve"> in many ways shed light into our path as it presents the required tools to each individual to have his/her stand against the challenges.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For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understanding the secrets of self is not an intellectual pursuit only for philosophers and theologians, but it is a necessary tool for each individual because it not only helps to understand one’s own self, but it also gives a clearer understanding about the concept of God. Indeed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presents the concept of </w:t>
      </w:r>
      <w:proofErr w:type="spellStart"/>
      <w:proofErr w:type="gramStart"/>
      <w:r w:rsidRPr="002F7DBB">
        <w:rPr>
          <w:rFonts w:ascii="Times New Roman" w:hAnsi="Times New Roman" w:cs="Times New Roman"/>
          <w:sz w:val="24"/>
          <w:szCs w:val="24"/>
        </w:rPr>
        <w:t>Ene</w:t>
      </w:r>
      <w:proofErr w:type="spellEnd"/>
      <w:proofErr w:type="gramEnd"/>
      <w:r w:rsidRPr="002F7DBB">
        <w:rPr>
          <w:rFonts w:ascii="Times New Roman" w:hAnsi="Times New Roman" w:cs="Times New Roman"/>
          <w:sz w:val="24"/>
          <w:szCs w:val="24"/>
        </w:rPr>
        <w:t xml:space="preserve"> as a way to know the attributes and Names of God. Of course this understanding determines the standpoint of an individual both towards himself and in front of God. Western theologians and philosophers have also addressed to similar issues in their writings and discussions.   In the context of this article we will discuss the teachings of two existentialist philosophers or theologians, Martin Buber and Paul Tillich. Martin Buber’s I and Thou, which is a dialogical approach to mans relation with God, and Paul Tillich’s ultimate concern as the concept of God in one’s understanding will be covered in relation to the concept of </w:t>
      </w:r>
      <w:proofErr w:type="spellStart"/>
      <w:r w:rsidRPr="002F7DBB">
        <w:rPr>
          <w:rFonts w:ascii="Times New Roman" w:hAnsi="Times New Roman" w:cs="Times New Roman"/>
          <w:sz w:val="24"/>
          <w:szCs w:val="24"/>
        </w:rPr>
        <w:t>Ene</w:t>
      </w:r>
      <w:proofErr w:type="spellEnd"/>
      <w:r w:rsidRPr="002F7DBB">
        <w:rPr>
          <w:rFonts w:ascii="Times New Roman" w:hAnsi="Times New Roman" w:cs="Times New Roman"/>
          <w:sz w:val="24"/>
          <w:szCs w:val="24"/>
        </w:rPr>
        <w:t xml:space="preserve"> in </w:t>
      </w:r>
      <w:proofErr w:type="spellStart"/>
      <w:r w:rsidRPr="002F7DBB">
        <w:rPr>
          <w:rFonts w:ascii="Times New Roman" w:hAnsi="Times New Roman" w:cs="Times New Roman"/>
          <w:sz w:val="24"/>
          <w:szCs w:val="24"/>
        </w:rPr>
        <w:t>Risale-i</w:t>
      </w:r>
      <w:proofErr w:type="spellEnd"/>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Nur</w:t>
      </w:r>
      <w:proofErr w:type="spellEnd"/>
      <w:r w:rsidRPr="002F7DBB">
        <w:rPr>
          <w:rFonts w:ascii="Times New Roman" w:hAnsi="Times New Roman" w:cs="Times New Roman"/>
          <w:sz w:val="24"/>
          <w:szCs w:val="24"/>
        </w:rPr>
        <w:t xml:space="preserve"> by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These two thinkers were selected for this study because of several reasons. First and most important is the period they lived. They were both, just like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born around 1880s and all died around 1960s. So our choice gives us the opportunity to explore the ideas of leading Christian and Jewish thinkers in conjunction with the ideas of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One other reason for selecting these two thinkers was their existential orientation. Existentialism at that time and still is one of the most popular philosophical theories about man’s nature, his interpretation of himself and the nature. </w:t>
      </w:r>
    </w:p>
    <w:p w:rsidR="00773CD7" w:rsidRPr="002F7DBB" w:rsidRDefault="00773CD7" w:rsidP="00773CD7">
      <w:pPr>
        <w:spacing w:line="360" w:lineRule="auto"/>
        <w:jc w:val="both"/>
        <w:rPr>
          <w:rStyle w:val="Emphasis"/>
          <w:rFonts w:ascii="Times New Roman" w:hAnsi="Times New Roman" w:cs="Times New Roman"/>
          <w:i w:val="0"/>
          <w:sz w:val="24"/>
          <w:szCs w:val="24"/>
        </w:rPr>
      </w:pPr>
      <w:r w:rsidRPr="002F7DBB">
        <w:rPr>
          <w:rFonts w:ascii="Times New Roman" w:hAnsi="Times New Roman" w:cs="Times New Roman"/>
          <w:sz w:val="24"/>
          <w:szCs w:val="24"/>
        </w:rPr>
        <w:t xml:space="preserve">In it is most general understanding </w:t>
      </w:r>
      <w:r w:rsidRPr="002F7DBB">
        <w:rPr>
          <w:rFonts w:ascii="Times New Roman" w:hAnsi="Times New Roman" w:cs="Times New Roman"/>
          <w:iCs/>
          <w:sz w:val="24"/>
          <w:szCs w:val="24"/>
        </w:rPr>
        <w:t>"existentialism" may be defined as the philosophical theory which realises the requirement of new categories to grasp human existence.</w:t>
      </w:r>
      <w:r w:rsidRPr="002F7DBB">
        <w:rPr>
          <w:rStyle w:val="Emphasis"/>
          <w:rFonts w:ascii="Times New Roman" w:hAnsi="Times New Roman" w:cs="Times New Roman"/>
          <w:i w:val="0"/>
          <w:sz w:val="24"/>
          <w:szCs w:val="24"/>
        </w:rPr>
        <w:t xml:space="preserve"> This </w:t>
      </w:r>
      <w:r w:rsidRPr="002F7DBB">
        <w:rPr>
          <w:rStyle w:val="Emphasis"/>
          <w:rFonts w:ascii="Times New Roman" w:hAnsi="Times New Roman" w:cs="Times New Roman"/>
          <w:i w:val="0"/>
          <w:sz w:val="24"/>
          <w:szCs w:val="24"/>
        </w:rPr>
        <w:lastRenderedPageBreak/>
        <w:t xml:space="preserve">approach gives primacy to experience over understanding. This experience is an element which, in a sense, governs the scientific and moral inquiry about what makes us ourselves. Existentialism states that an individual has full responsibility for creating the meaning of his/her own life which brings the idea of personal choice and responsibility. The very fundamental question in theological existentialism is man’s relation to God. This relation is the key to understand the essence of our personal choices, responsibilities and ourselves. In this study the self in relation to the concept of God is going to be discussed. </w:t>
      </w:r>
    </w:p>
    <w:p w:rsidR="00773CD7" w:rsidRPr="002F7DBB" w:rsidRDefault="00773CD7" w:rsidP="00773CD7">
      <w:pPr>
        <w:pStyle w:val="Title"/>
        <w:rPr>
          <w:rFonts w:ascii="Times New Roman" w:hAnsi="Times New Roman" w:cs="Times New Roman"/>
          <w:sz w:val="24"/>
          <w:szCs w:val="24"/>
        </w:rPr>
      </w:pPr>
      <w:r w:rsidRPr="002F7DBB">
        <w:rPr>
          <w:rFonts w:ascii="Times New Roman" w:hAnsi="Times New Roman" w:cs="Times New Roman"/>
          <w:sz w:val="24"/>
          <w:szCs w:val="24"/>
        </w:rPr>
        <w:t xml:space="preserve">Existentialist Outlook of Martin Buber and Paul Tillich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Atheistic existentialism in Europe after the Second World War was a philosophy of crisis. At that time frightening reality of death and suffering was something in Europe which every individual experienced to a degree. After such turbulent times individuals were being drawn away from spirituality and religion. Determinism and materialism were the mind sets of individuals while rediscovering the meaning, existence and essence of the self. Any form of religion and spirituality was being abandoned in any philosophical and sociological pursuit.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In such times both Martin Buber and Paul Tillich were able to grasp the requirements and the psychology of modern man, especially the dilemma between the spiritual and secular. </w:t>
      </w:r>
      <w:r w:rsidRPr="002F7DBB">
        <w:rPr>
          <w:rFonts w:ascii="Times New Roman" w:hAnsi="Times New Roman" w:cs="Times New Roman"/>
          <w:sz w:val="24"/>
          <w:szCs w:val="24"/>
        </w:rPr>
        <w:t>D. F. Polish explains Buber’s existentialist outlook by saying “</w:t>
      </w:r>
      <w:r w:rsidRPr="002F7DBB">
        <w:rPr>
          <w:rFonts w:ascii="Times New Roman" w:hAnsi="Times New Roman" w:cs="Times New Roman"/>
          <w:i/>
          <w:sz w:val="24"/>
          <w:szCs w:val="24"/>
        </w:rPr>
        <w:t>… it does not ask questions about the ultimate nature of being or about that which we cannot know from our own experience… Buber focuses on individuals and how they live their lives.</w:t>
      </w:r>
      <w:r w:rsidRPr="002F7DBB">
        <w:rPr>
          <w:rFonts w:ascii="Times New Roman" w:hAnsi="Times New Roman" w:cs="Times New Roman"/>
          <w:sz w:val="24"/>
          <w:szCs w:val="24"/>
        </w:rPr>
        <w:t>”</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1"/>
      </w:r>
      <w:r w:rsidRPr="002F7DBB">
        <w:rPr>
          <w:rFonts w:ascii="Times New Roman" w:hAnsi="Times New Roman" w:cs="Times New Roman"/>
          <w:sz w:val="24"/>
          <w:szCs w:val="24"/>
        </w:rPr>
        <w:t xml:space="preserve"> </w:t>
      </w:r>
      <w:r w:rsidRPr="002F7DBB">
        <w:rPr>
          <w:rFonts w:ascii="Times New Roman" w:hAnsi="Times New Roman" w:cs="Times New Roman"/>
          <w:iCs/>
          <w:sz w:val="24"/>
          <w:szCs w:val="24"/>
        </w:rPr>
        <w:t xml:space="preserve">Like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w:t>
      </w:r>
      <w:proofErr w:type="spellEnd"/>
      <w:r w:rsidRPr="002F7DBB">
        <w:rPr>
          <w:rFonts w:ascii="Times New Roman" w:hAnsi="Times New Roman" w:cs="Times New Roman"/>
          <w:iCs/>
          <w:sz w:val="24"/>
          <w:szCs w:val="24"/>
        </w:rPr>
        <w:t>, Martin Buber also discussed the concept of the self in conjunction with the idea of God</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Just like Martin Buber, Tillich also tried to develop his theology to satisfy the modern man. While trying to achieve this challenging task he realizes the limitations of human mind and experience. According to Tillich “</w:t>
      </w:r>
      <w:r w:rsidRPr="002F7DBB">
        <w:rPr>
          <w:rFonts w:ascii="Times New Roman" w:hAnsi="Times New Roman" w:cs="Times New Roman"/>
          <w:i/>
          <w:iCs/>
          <w:sz w:val="24"/>
          <w:szCs w:val="24"/>
        </w:rPr>
        <w:t>the situation to which theology must respond is the totality of man’s creative self-interpretation in a special period</w:t>
      </w:r>
      <w:r w:rsidRPr="002F7DBB">
        <w:rPr>
          <w:rStyle w:val="FootnoteReference"/>
          <w:rFonts w:ascii="Times New Roman" w:hAnsi="Times New Roman" w:cs="Times New Roman"/>
          <w:sz w:val="24"/>
          <w:szCs w:val="24"/>
        </w:rPr>
        <w:footnoteReference w:id="2"/>
      </w:r>
      <w:r w:rsidRPr="002F7DBB">
        <w:rPr>
          <w:rFonts w:ascii="Times New Roman" w:hAnsi="Times New Roman" w:cs="Times New Roman"/>
          <w:i/>
          <w:iCs/>
          <w:sz w:val="24"/>
          <w:szCs w:val="24"/>
        </w:rPr>
        <w:t>.”</w:t>
      </w:r>
      <w:r w:rsidRPr="002F7DBB">
        <w:rPr>
          <w:rFonts w:ascii="Times New Roman" w:hAnsi="Times New Roman" w:cs="Times New Roman"/>
          <w:iCs/>
          <w:sz w:val="24"/>
          <w:szCs w:val="24"/>
        </w:rPr>
        <w:t xml:space="preserve"> By saying </w:t>
      </w:r>
      <w:r w:rsidRPr="002F7DBB">
        <w:rPr>
          <w:rFonts w:ascii="Times New Roman" w:hAnsi="Times New Roman" w:cs="Times New Roman"/>
          <w:i/>
          <w:iCs/>
          <w:sz w:val="24"/>
          <w:szCs w:val="24"/>
        </w:rPr>
        <w:t>man’s creative self-interpretation</w:t>
      </w:r>
      <w:r w:rsidRPr="002F7DBB">
        <w:rPr>
          <w:rFonts w:ascii="Times New Roman" w:hAnsi="Times New Roman" w:cs="Times New Roman"/>
          <w:iCs/>
          <w:sz w:val="24"/>
          <w:szCs w:val="24"/>
        </w:rPr>
        <w:t xml:space="preserve"> I think Tillich describes the very fundamental relation or instinct of man; his relation with himself, the wish to understand the secrets of the self, its dynamics, motives and exclusivity. Such a theology that would respond to this very fundamental phenomenon is surely a very helpful one, especially in our times.</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lastRenderedPageBreak/>
        <w:t>While trying to discuss concepts like God in relation to self, or self in relation to God, both Paul Tillich and Martin Buber realise the limitations of human mind, understanding and experience. Realisation of such limitations is a huge leap forward however it is not enough to clarify some concepts. At this stage Martin Buber moves towards mysticism and develops terms like “</w:t>
      </w:r>
      <w:r w:rsidRPr="002F7DBB">
        <w:rPr>
          <w:rFonts w:ascii="Times New Roman" w:hAnsi="Times New Roman" w:cs="Times New Roman"/>
          <w:i/>
          <w:iCs/>
          <w:sz w:val="24"/>
          <w:szCs w:val="24"/>
        </w:rPr>
        <w:t>inborn Thou</w:t>
      </w:r>
      <w:r w:rsidRPr="002F7DBB">
        <w:rPr>
          <w:rFonts w:ascii="Times New Roman" w:hAnsi="Times New Roman" w:cs="Times New Roman"/>
          <w:iCs/>
          <w:sz w:val="24"/>
          <w:szCs w:val="24"/>
        </w:rPr>
        <w:t>” and “</w:t>
      </w:r>
      <w:r w:rsidRPr="002F7DBB">
        <w:rPr>
          <w:rFonts w:ascii="Times New Roman" w:hAnsi="Times New Roman" w:cs="Times New Roman"/>
          <w:i/>
          <w:iCs/>
          <w:sz w:val="24"/>
          <w:szCs w:val="24"/>
        </w:rPr>
        <w:t>glimpse of eternity</w:t>
      </w:r>
      <w:r w:rsidRPr="002F7DBB">
        <w:rPr>
          <w:rFonts w:ascii="Times New Roman" w:hAnsi="Times New Roman" w:cs="Times New Roman"/>
          <w:iCs/>
          <w:sz w:val="24"/>
          <w:szCs w:val="24"/>
        </w:rPr>
        <w:t xml:space="preserve">” to express or highlight some concepts which are beyond our grasp. Paul Tillich in a similar way uses the interpretation of symbols to open up different levels of reality and awareness. This kind of approach again leaves individuals with very limited knowledge and with a very complicated system.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On the other hand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w:t>
      </w:r>
      <w:proofErr w:type="spellEnd"/>
      <w:r w:rsidRPr="002F7DBB">
        <w:rPr>
          <w:rFonts w:ascii="Times New Roman" w:hAnsi="Times New Roman" w:cs="Times New Roman"/>
          <w:iCs/>
          <w:sz w:val="24"/>
          <w:szCs w:val="24"/>
        </w:rPr>
        <w:t xml:space="preserve"> does not only realize these limitations but also describes them in detail in relation to the concept of God. According to him, self, self affirmation and self interpretation are some concepts that cannot be discussed if their essence and reality are isolated from the concept of God. While developing his argument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w:t>
      </w:r>
      <w:proofErr w:type="spellEnd"/>
      <w:r w:rsidRPr="002F7DBB">
        <w:rPr>
          <w:rFonts w:ascii="Times New Roman" w:hAnsi="Times New Roman" w:cs="Times New Roman"/>
          <w:iCs/>
          <w:sz w:val="24"/>
          <w:szCs w:val="24"/>
        </w:rPr>
        <w:t xml:space="preserve"> established true and logical links which can be operated by individuals in different situations.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I will try to summarise some key concepts in the works of Martin Buber and Paul Tillich in conjunction with this study. The main argument and detailed analysis is going to be on the works of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w:t>
      </w:r>
      <w:proofErr w:type="spellEnd"/>
      <w:r w:rsidRPr="002F7DBB">
        <w:rPr>
          <w:rFonts w:ascii="Times New Roman" w:hAnsi="Times New Roman" w:cs="Times New Roman"/>
          <w:iCs/>
          <w:sz w:val="24"/>
          <w:szCs w:val="24"/>
        </w:rPr>
        <w:t xml:space="preserve">. </w:t>
      </w:r>
    </w:p>
    <w:p w:rsidR="00773CD7" w:rsidRPr="002F7DBB" w:rsidRDefault="00773CD7" w:rsidP="00773CD7">
      <w:pPr>
        <w:pStyle w:val="Title"/>
        <w:rPr>
          <w:rFonts w:ascii="Times New Roman" w:hAnsi="Times New Roman" w:cs="Times New Roman"/>
          <w:sz w:val="24"/>
          <w:szCs w:val="24"/>
        </w:rPr>
      </w:pPr>
      <w:r w:rsidRPr="002F7DBB">
        <w:rPr>
          <w:rFonts w:ascii="Times New Roman" w:hAnsi="Times New Roman" w:cs="Times New Roman"/>
          <w:sz w:val="24"/>
          <w:szCs w:val="24"/>
        </w:rPr>
        <w:t>Martin Buber</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Buber realizes the difference of the two worlds; world of </w:t>
      </w:r>
      <w:proofErr w:type="gramStart"/>
      <w:r w:rsidRPr="002F7DBB">
        <w:rPr>
          <w:rFonts w:ascii="Times New Roman" w:hAnsi="Times New Roman" w:cs="Times New Roman"/>
          <w:i/>
          <w:sz w:val="24"/>
          <w:szCs w:val="24"/>
        </w:rPr>
        <w:t>It</w:t>
      </w:r>
      <w:proofErr w:type="gramEnd"/>
      <w:r w:rsidRPr="002F7DBB">
        <w:rPr>
          <w:rFonts w:ascii="Times New Roman" w:hAnsi="Times New Roman" w:cs="Times New Roman"/>
          <w:sz w:val="24"/>
          <w:szCs w:val="24"/>
        </w:rPr>
        <w:t xml:space="preserve"> and world of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He does not choose one to another but lays out the differences. In his own words “… </w:t>
      </w:r>
      <w:r w:rsidRPr="002F7DBB">
        <w:rPr>
          <w:rFonts w:ascii="Times New Roman" w:hAnsi="Times New Roman" w:cs="Times New Roman"/>
          <w:i/>
          <w:sz w:val="24"/>
          <w:szCs w:val="24"/>
        </w:rPr>
        <w:t xml:space="preserve">without It man cannot live. But he who lives with </w:t>
      </w:r>
      <w:proofErr w:type="gramStart"/>
      <w:r w:rsidRPr="002F7DBB">
        <w:rPr>
          <w:rFonts w:ascii="Times New Roman" w:hAnsi="Times New Roman" w:cs="Times New Roman"/>
          <w:i/>
          <w:sz w:val="24"/>
          <w:szCs w:val="24"/>
        </w:rPr>
        <w:t>It</w:t>
      </w:r>
      <w:proofErr w:type="gramEnd"/>
      <w:r w:rsidRPr="002F7DBB">
        <w:rPr>
          <w:rFonts w:ascii="Times New Roman" w:hAnsi="Times New Roman" w:cs="Times New Roman"/>
          <w:i/>
          <w:sz w:val="24"/>
          <w:szCs w:val="24"/>
        </w:rPr>
        <w:t xml:space="preserve"> alone is not a man</w:t>
      </w:r>
      <w:r w:rsidRPr="002F7DBB">
        <w:rPr>
          <w:rStyle w:val="FootnoteReference"/>
          <w:rFonts w:ascii="Times New Roman" w:hAnsi="Times New Roman" w:cs="Times New Roman"/>
          <w:sz w:val="24"/>
          <w:szCs w:val="24"/>
        </w:rPr>
        <w:footnoteReference w:id="3"/>
      </w:r>
      <w:r w:rsidRPr="002F7DBB">
        <w:rPr>
          <w:rFonts w:ascii="Times New Roman" w:hAnsi="Times New Roman" w:cs="Times New Roman"/>
          <w:i/>
          <w:sz w:val="24"/>
          <w:szCs w:val="24"/>
        </w:rPr>
        <w:t>.</w:t>
      </w:r>
      <w:r w:rsidRPr="002F7DBB">
        <w:rPr>
          <w:rFonts w:ascii="Times New Roman" w:hAnsi="Times New Roman" w:cs="Times New Roman"/>
          <w:sz w:val="24"/>
          <w:szCs w:val="24"/>
        </w:rPr>
        <w:t>”</w:t>
      </w:r>
      <w:r w:rsidRPr="002F7DBB">
        <w:rPr>
          <w:rFonts w:ascii="Times New Roman" w:hAnsi="Times New Roman" w:cs="Times New Roman"/>
          <w:i/>
          <w:sz w:val="24"/>
          <w:szCs w:val="24"/>
        </w:rPr>
        <w:t xml:space="preserve"> </w:t>
      </w:r>
      <w:r w:rsidRPr="002F7DBB">
        <w:rPr>
          <w:rFonts w:ascii="Times New Roman" w:hAnsi="Times New Roman" w:cs="Times New Roman"/>
          <w:sz w:val="24"/>
          <w:szCs w:val="24"/>
        </w:rPr>
        <w:t xml:space="preserve">The world of </w:t>
      </w:r>
      <w:proofErr w:type="gramStart"/>
      <w:r w:rsidRPr="002F7DBB">
        <w:rPr>
          <w:rFonts w:ascii="Times New Roman" w:hAnsi="Times New Roman" w:cs="Times New Roman"/>
          <w:i/>
          <w:sz w:val="24"/>
          <w:szCs w:val="24"/>
        </w:rPr>
        <w:t>It</w:t>
      </w:r>
      <w:proofErr w:type="gramEnd"/>
      <w:r w:rsidRPr="002F7DBB">
        <w:rPr>
          <w:rFonts w:ascii="Times New Roman" w:hAnsi="Times New Roman" w:cs="Times New Roman"/>
          <w:sz w:val="24"/>
          <w:szCs w:val="24"/>
        </w:rPr>
        <w:t xml:space="preserve"> can be identified through time and space, whereas </w:t>
      </w:r>
      <w:r w:rsidRPr="002F7DBB">
        <w:rPr>
          <w:rFonts w:ascii="Times New Roman" w:hAnsi="Times New Roman" w:cs="Times New Roman"/>
          <w:i/>
          <w:sz w:val="24"/>
          <w:szCs w:val="24"/>
        </w:rPr>
        <w:t>the world of Thou is not set in the context of either of these</w:t>
      </w:r>
      <w:r w:rsidRPr="002F7DBB">
        <w:rPr>
          <w:rStyle w:val="FootnoteReference"/>
          <w:rFonts w:ascii="Times New Roman" w:hAnsi="Times New Roman" w:cs="Times New Roman"/>
          <w:sz w:val="24"/>
          <w:szCs w:val="24"/>
        </w:rPr>
        <w:footnoteReference w:id="4"/>
      </w:r>
      <w:r w:rsidRPr="002F7DBB">
        <w:rPr>
          <w:rFonts w:ascii="Times New Roman" w:hAnsi="Times New Roman" w:cs="Times New Roman"/>
          <w:sz w:val="24"/>
          <w:szCs w:val="24"/>
        </w:rPr>
        <w:t xml:space="preserve">. Bearing this in mind it may be said that the </w:t>
      </w:r>
      <w:r w:rsidRPr="002F7DBB">
        <w:rPr>
          <w:rFonts w:ascii="Times New Roman" w:hAnsi="Times New Roman" w:cs="Times New Roman"/>
          <w:i/>
          <w:sz w:val="24"/>
          <w:szCs w:val="24"/>
        </w:rPr>
        <w:t>I-It</w:t>
      </w:r>
      <w:r w:rsidRPr="002F7DBB">
        <w:rPr>
          <w:rFonts w:ascii="Times New Roman" w:hAnsi="Times New Roman" w:cs="Times New Roman"/>
          <w:sz w:val="24"/>
          <w:szCs w:val="24"/>
        </w:rPr>
        <w:t xml:space="preserve"> relation is a form of relation through which the world is reduced to objects or in other words knowable things. Similarly to the words of Smith in his Translator’s Preface this would be to the interest of a scientist. This relation or this form of understanding is also inevitable and inescapable but as Buber argues transforming this subject to object relation to a subject to subject relation and engaging in a </w:t>
      </w:r>
      <w:r w:rsidRPr="002F7DBB">
        <w:rPr>
          <w:rFonts w:ascii="Times New Roman" w:hAnsi="Times New Roman" w:cs="Times New Roman"/>
          <w:i/>
          <w:sz w:val="24"/>
          <w:szCs w:val="24"/>
        </w:rPr>
        <w:t>I-Thou</w:t>
      </w:r>
      <w:r w:rsidRPr="002F7DBB">
        <w:rPr>
          <w:rFonts w:ascii="Times New Roman" w:hAnsi="Times New Roman" w:cs="Times New Roman"/>
          <w:sz w:val="24"/>
          <w:szCs w:val="24"/>
        </w:rPr>
        <w:t xml:space="preserve"> relation gives the opportunity to realize the wholeness of the being. The possibility of transforming </w:t>
      </w:r>
      <w:r w:rsidRPr="002F7DBB">
        <w:rPr>
          <w:rFonts w:ascii="Times New Roman" w:hAnsi="Times New Roman" w:cs="Times New Roman"/>
          <w:i/>
          <w:sz w:val="24"/>
          <w:szCs w:val="24"/>
        </w:rPr>
        <w:t>I-It</w:t>
      </w:r>
      <w:r w:rsidRPr="002F7DBB">
        <w:rPr>
          <w:rFonts w:ascii="Times New Roman" w:hAnsi="Times New Roman" w:cs="Times New Roman"/>
          <w:sz w:val="24"/>
          <w:szCs w:val="24"/>
        </w:rPr>
        <w:t xml:space="preserve"> relation to </w:t>
      </w:r>
      <w:r w:rsidRPr="002F7DBB">
        <w:rPr>
          <w:rFonts w:ascii="Times New Roman" w:hAnsi="Times New Roman" w:cs="Times New Roman"/>
          <w:i/>
          <w:sz w:val="24"/>
          <w:szCs w:val="24"/>
        </w:rPr>
        <w:t>I-Thou</w:t>
      </w:r>
      <w:r w:rsidRPr="002F7DBB">
        <w:rPr>
          <w:rFonts w:ascii="Times New Roman" w:hAnsi="Times New Roman" w:cs="Times New Roman"/>
          <w:sz w:val="24"/>
          <w:szCs w:val="24"/>
        </w:rPr>
        <w:t xml:space="preserve"> relation also means that there is a potentiality in every </w:t>
      </w:r>
      <w:r w:rsidRPr="002F7DBB">
        <w:rPr>
          <w:rFonts w:ascii="Times New Roman" w:hAnsi="Times New Roman" w:cs="Times New Roman"/>
          <w:i/>
          <w:sz w:val="24"/>
          <w:szCs w:val="24"/>
        </w:rPr>
        <w:t>I-It</w:t>
      </w:r>
      <w:r w:rsidRPr="002F7DBB">
        <w:rPr>
          <w:rFonts w:ascii="Times New Roman" w:hAnsi="Times New Roman" w:cs="Times New Roman"/>
          <w:sz w:val="24"/>
          <w:szCs w:val="24"/>
        </w:rPr>
        <w:t xml:space="preserve"> relation to change form and show the unity or wholeness of the being.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lastRenderedPageBreak/>
        <w:t>This discussion takes another dimension when he says “</w:t>
      </w:r>
      <w:r w:rsidRPr="002F7DBB">
        <w:rPr>
          <w:rFonts w:ascii="Times New Roman" w:hAnsi="Times New Roman" w:cs="Times New Roman"/>
          <w:i/>
          <w:sz w:val="24"/>
          <w:szCs w:val="24"/>
        </w:rPr>
        <w:t xml:space="preserve">How powerful is the unbroken world of It, and how delicate are the appearances of the </w:t>
      </w:r>
      <w:proofErr w:type="gramStart"/>
      <w:r w:rsidRPr="002F7DBB">
        <w:rPr>
          <w:rFonts w:ascii="Times New Roman" w:hAnsi="Times New Roman" w:cs="Times New Roman"/>
          <w:i/>
          <w:sz w:val="24"/>
          <w:szCs w:val="24"/>
        </w:rPr>
        <w:t xml:space="preserve">Thou </w:t>
      </w:r>
      <w:r w:rsidRPr="002F7DBB">
        <w:rPr>
          <w:rStyle w:val="FootnoteReference"/>
          <w:rFonts w:ascii="Times New Roman" w:hAnsi="Times New Roman" w:cs="Times New Roman"/>
          <w:sz w:val="24"/>
          <w:szCs w:val="24"/>
        </w:rPr>
        <w:footnoteReference w:id="5"/>
      </w:r>
      <w:proofErr w:type="gramEnd"/>
      <w:r w:rsidRPr="002F7DBB">
        <w:rPr>
          <w:rFonts w:ascii="Times New Roman" w:hAnsi="Times New Roman" w:cs="Times New Roman"/>
          <w:i/>
          <w:sz w:val="24"/>
          <w:szCs w:val="24"/>
        </w:rPr>
        <w:t xml:space="preserve"> .</w:t>
      </w:r>
      <w:r w:rsidRPr="002F7DBB">
        <w:rPr>
          <w:rFonts w:ascii="Times New Roman" w:hAnsi="Times New Roman" w:cs="Times New Roman"/>
          <w:sz w:val="24"/>
          <w:szCs w:val="24"/>
        </w:rPr>
        <w:t xml:space="preserve">” This may be considered as an insight to Buber’s idea about how this unity works, appearances of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in a world of </w:t>
      </w:r>
      <w:proofErr w:type="gramStart"/>
      <w:r w:rsidRPr="002F7DBB">
        <w:rPr>
          <w:rFonts w:ascii="Times New Roman" w:hAnsi="Times New Roman" w:cs="Times New Roman"/>
          <w:i/>
          <w:sz w:val="24"/>
          <w:szCs w:val="24"/>
        </w:rPr>
        <w:t>It</w:t>
      </w:r>
      <w:proofErr w:type="gramEnd"/>
      <w:r w:rsidRPr="002F7DBB">
        <w:rPr>
          <w:rFonts w:ascii="Times New Roman" w:hAnsi="Times New Roman" w:cs="Times New Roman"/>
          <w:sz w:val="24"/>
          <w:szCs w:val="24"/>
        </w:rPr>
        <w:t xml:space="preserve">. According to Buber this kind of relation can help to </w:t>
      </w:r>
      <w:r w:rsidRPr="002F7DBB">
        <w:rPr>
          <w:rFonts w:ascii="Times New Roman" w:hAnsi="Times New Roman" w:cs="Times New Roman"/>
          <w:i/>
          <w:sz w:val="24"/>
          <w:szCs w:val="24"/>
        </w:rPr>
        <w:t>glimpse eternity</w:t>
      </w:r>
      <w:r w:rsidRPr="002F7DBB">
        <w:rPr>
          <w:rFonts w:ascii="Times New Roman" w:hAnsi="Times New Roman" w:cs="Times New Roman"/>
          <w:sz w:val="24"/>
          <w:szCs w:val="24"/>
        </w:rPr>
        <w:t xml:space="preserve">, instead of having the </w:t>
      </w:r>
      <w:r w:rsidRPr="002F7DBB">
        <w:rPr>
          <w:rFonts w:ascii="Times New Roman" w:hAnsi="Times New Roman" w:cs="Times New Roman"/>
          <w:i/>
          <w:sz w:val="24"/>
          <w:szCs w:val="24"/>
        </w:rPr>
        <w:t>grave in nothingness</w:t>
      </w:r>
      <w:r w:rsidRPr="002F7DBB">
        <w:rPr>
          <w:rFonts w:ascii="Times New Roman" w:hAnsi="Times New Roman" w:cs="Times New Roman"/>
          <w:sz w:val="24"/>
          <w:szCs w:val="24"/>
        </w:rPr>
        <w:t>.</w:t>
      </w:r>
    </w:p>
    <w:p w:rsidR="00773CD7" w:rsidRPr="002F7DBB" w:rsidRDefault="00773CD7" w:rsidP="00773CD7">
      <w:pPr>
        <w:spacing w:line="360" w:lineRule="auto"/>
        <w:jc w:val="both"/>
        <w:rPr>
          <w:rFonts w:ascii="Times New Roman" w:hAnsi="Times New Roman" w:cs="Times New Roman"/>
          <w:iCs/>
          <w:color w:val="000000"/>
          <w:sz w:val="24"/>
          <w:szCs w:val="24"/>
        </w:rPr>
      </w:pPr>
      <w:r w:rsidRPr="002F7DBB">
        <w:rPr>
          <w:rFonts w:ascii="Times New Roman" w:hAnsi="Times New Roman" w:cs="Times New Roman"/>
          <w:iCs/>
          <w:sz w:val="24"/>
          <w:szCs w:val="24"/>
        </w:rPr>
        <w:t>Through the primary words (</w:t>
      </w:r>
      <w:r w:rsidRPr="002F7DBB">
        <w:rPr>
          <w:rFonts w:ascii="Times New Roman" w:hAnsi="Times New Roman" w:cs="Times New Roman"/>
          <w:i/>
          <w:iCs/>
          <w:sz w:val="24"/>
          <w:szCs w:val="24"/>
        </w:rPr>
        <w:t>I-It and I-Thou</w:t>
      </w:r>
      <w:r w:rsidRPr="002F7DBB">
        <w:rPr>
          <w:rFonts w:ascii="Times New Roman" w:hAnsi="Times New Roman" w:cs="Times New Roman"/>
          <w:iCs/>
          <w:sz w:val="24"/>
          <w:szCs w:val="24"/>
        </w:rPr>
        <w:t>) Buber argues the two poles of humanity</w:t>
      </w:r>
      <w:r w:rsidRPr="002F7DBB">
        <w:rPr>
          <w:rFonts w:ascii="Times New Roman" w:hAnsi="Times New Roman" w:cs="Times New Roman"/>
          <w:iCs/>
          <w:color w:val="000000"/>
          <w:sz w:val="24"/>
          <w:szCs w:val="24"/>
        </w:rPr>
        <w:t>, “</w:t>
      </w:r>
      <w:r w:rsidRPr="002F7DBB">
        <w:rPr>
          <w:rFonts w:ascii="Times New Roman" w:hAnsi="Times New Roman" w:cs="Times New Roman"/>
          <w:i/>
          <w:iCs/>
          <w:color w:val="000000"/>
          <w:sz w:val="24"/>
          <w:szCs w:val="24"/>
        </w:rPr>
        <w:t>Person</w:t>
      </w:r>
      <w:r w:rsidRPr="002F7DBB">
        <w:rPr>
          <w:rFonts w:ascii="Times New Roman" w:hAnsi="Times New Roman" w:cs="Times New Roman"/>
          <w:iCs/>
          <w:color w:val="000000"/>
          <w:sz w:val="24"/>
          <w:szCs w:val="24"/>
        </w:rPr>
        <w:t>” and “</w:t>
      </w:r>
      <w:r w:rsidRPr="002F7DBB">
        <w:rPr>
          <w:rFonts w:ascii="Times New Roman" w:hAnsi="Times New Roman" w:cs="Times New Roman"/>
          <w:i/>
          <w:iCs/>
          <w:color w:val="000000"/>
          <w:sz w:val="24"/>
          <w:szCs w:val="24"/>
        </w:rPr>
        <w:t>Individuality</w:t>
      </w:r>
      <w:r w:rsidRPr="002F7DBB">
        <w:rPr>
          <w:rFonts w:ascii="Times New Roman" w:hAnsi="Times New Roman" w:cs="Times New Roman"/>
          <w:iCs/>
          <w:color w:val="000000"/>
          <w:sz w:val="24"/>
          <w:szCs w:val="24"/>
        </w:rPr>
        <w:t xml:space="preserve">”. These two poles can be defined by </w:t>
      </w:r>
      <w:proofErr w:type="gramStart"/>
      <w:r w:rsidRPr="002F7DBB">
        <w:rPr>
          <w:rFonts w:ascii="Times New Roman" w:hAnsi="Times New Roman" w:cs="Times New Roman"/>
          <w:iCs/>
          <w:color w:val="000000"/>
          <w:sz w:val="24"/>
          <w:szCs w:val="24"/>
        </w:rPr>
        <w:t xml:space="preserve">the </w:t>
      </w:r>
      <w:r w:rsidRPr="002F7DBB">
        <w:rPr>
          <w:rFonts w:ascii="Times New Roman" w:hAnsi="Times New Roman" w:cs="Times New Roman"/>
          <w:i/>
          <w:iCs/>
          <w:color w:val="000000"/>
          <w:sz w:val="24"/>
          <w:szCs w:val="24"/>
        </w:rPr>
        <w:t>I</w:t>
      </w:r>
      <w:proofErr w:type="gramEnd"/>
      <w:r w:rsidRPr="002F7DBB">
        <w:rPr>
          <w:rFonts w:ascii="Times New Roman" w:hAnsi="Times New Roman" w:cs="Times New Roman"/>
          <w:iCs/>
          <w:color w:val="000000"/>
          <w:sz w:val="24"/>
          <w:szCs w:val="24"/>
        </w:rPr>
        <w:t xml:space="preserve"> of the two primary word </w:t>
      </w:r>
      <w:r w:rsidRPr="002F7DBB">
        <w:rPr>
          <w:rFonts w:ascii="Times New Roman" w:hAnsi="Times New Roman" w:cs="Times New Roman"/>
          <w:i/>
          <w:iCs/>
          <w:color w:val="000000"/>
          <w:sz w:val="24"/>
          <w:szCs w:val="24"/>
        </w:rPr>
        <w:t>I-It</w:t>
      </w:r>
      <w:r w:rsidRPr="002F7DBB">
        <w:rPr>
          <w:rFonts w:ascii="Times New Roman" w:hAnsi="Times New Roman" w:cs="Times New Roman"/>
          <w:iCs/>
          <w:color w:val="000000"/>
          <w:sz w:val="24"/>
          <w:szCs w:val="24"/>
        </w:rPr>
        <w:t xml:space="preserve"> and </w:t>
      </w:r>
      <w:r w:rsidRPr="002F7DBB">
        <w:rPr>
          <w:rFonts w:ascii="Times New Roman" w:hAnsi="Times New Roman" w:cs="Times New Roman"/>
          <w:i/>
          <w:iCs/>
          <w:color w:val="000000"/>
          <w:sz w:val="24"/>
          <w:szCs w:val="24"/>
        </w:rPr>
        <w:t>I-Thou</w:t>
      </w:r>
      <w:r w:rsidRPr="002F7DBB">
        <w:rPr>
          <w:rFonts w:ascii="Times New Roman" w:hAnsi="Times New Roman" w:cs="Times New Roman"/>
          <w:iCs/>
          <w:color w:val="000000"/>
          <w:sz w:val="24"/>
          <w:szCs w:val="24"/>
        </w:rPr>
        <w:t xml:space="preserve">. The </w:t>
      </w:r>
      <w:r w:rsidRPr="002F7DBB">
        <w:rPr>
          <w:rFonts w:ascii="Times New Roman" w:hAnsi="Times New Roman" w:cs="Times New Roman"/>
          <w:i/>
          <w:iCs/>
          <w:color w:val="000000"/>
          <w:sz w:val="24"/>
          <w:szCs w:val="24"/>
        </w:rPr>
        <w:t>I</w:t>
      </w:r>
      <w:r w:rsidRPr="002F7DBB">
        <w:rPr>
          <w:rFonts w:ascii="Times New Roman" w:hAnsi="Times New Roman" w:cs="Times New Roman"/>
          <w:iCs/>
          <w:color w:val="000000"/>
          <w:sz w:val="24"/>
          <w:szCs w:val="24"/>
        </w:rPr>
        <w:t xml:space="preserve"> of the primary word </w:t>
      </w:r>
      <w:r w:rsidRPr="002F7DBB">
        <w:rPr>
          <w:rFonts w:ascii="Times New Roman" w:hAnsi="Times New Roman" w:cs="Times New Roman"/>
          <w:i/>
          <w:iCs/>
          <w:color w:val="000000"/>
          <w:sz w:val="24"/>
          <w:szCs w:val="24"/>
        </w:rPr>
        <w:t>I-It</w:t>
      </w:r>
      <w:r w:rsidRPr="002F7DBB">
        <w:rPr>
          <w:rFonts w:ascii="Times New Roman" w:hAnsi="Times New Roman" w:cs="Times New Roman"/>
          <w:iCs/>
          <w:color w:val="000000"/>
          <w:sz w:val="24"/>
          <w:szCs w:val="24"/>
        </w:rPr>
        <w:t xml:space="preserve"> </w:t>
      </w:r>
      <w:proofErr w:type="gramStart"/>
      <w:r w:rsidRPr="002F7DBB">
        <w:rPr>
          <w:rFonts w:ascii="Times New Roman" w:hAnsi="Times New Roman" w:cs="Times New Roman"/>
          <w:iCs/>
          <w:color w:val="000000"/>
          <w:sz w:val="24"/>
          <w:szCs w:val="24"/>
        </w:rPr>
        <w:t>represents</w:t>
      </w:r>
      <w:proofErr w:type="gramEnd"/>
      <w:r w:rsidRPr="002F7DBB">
        <w:rPr>
          <w:rFonts w:ascii="Times New Roman" w:hAnsi="Times New Roman" w:cs="Times New Roman"/>
          <w:iCs/>
          <w:color w:val="000000"/>
          <w:sz w:val="24"/>
          <w:szCs w:val="24"/>
        </w:rPr>
        <w:t xml:space="preserve"> individuality as it is conscious of itself as subject which experiences and uses. </w:t>
      </w:r>
      <w:proofErr w:type="gramStart"/>
      <w:r w:rsidRPr="002F7DBB">
        <w:rPr>
          <w:rFonts w:ascii="Times New Roman" w:hAnsi="Times New Roman" w:cs="Times New Roman"/>
          <w:iCs/>
          <w:color w:val="000000"/>
          <w:sz w:val="24"/>
          <w:szCs w:val="24"/>
        </w:rPr>
        <w:t xml:space="preserve">The </w:t>
      </w:r>
      <w:r w:rsidRPr="002F7DBB">
        <w:rPr>
          <w:rFonts w:ascii="Times New Roman" w:hAnsi="Times New Roman" w:cs="Times New Roman"/>
          <w:i/>
          <w:iCs/>
          <w:color w:val="000000"/>
          <w:sz w:val="24"/>
          <w:szCs w:val="24"/>
        </w:rPr>
        <w:t>I</w:t>
      </w:r>
      <w:proofErr w:type="gramEnd"/>
      <w:r w:rsidRPr="002F7DBB">
        <w:rPr>
          <w:rFonts w:ascii="Times New Roman" w:hAnsi="Times New Roman" w:cs="Times New Roman"/>
          <w:iCs/>
          <w:color w:val="000000"/>
          <w:sz w:val="24"/>
          <w:szCs w:val="24"/>
        </w:rPr>
        <w:t xml:space="preserve"> of the primary word </w:t>
      </w:r>
      <w:r w:rsidRPr="002F7DBB">
        <w:rPr>
          <w:rFonts w:ascii="Times New Roman" w:hAnsi="Times New Roman" w:cs="Times New Roman"/>
          <w:i/>
          <w:iCs/>
          <w:color w:val="000000"/>
          <w:sz w:val="24"/>
          <w:szCs w:val="24"/>
        </w:rPr>
        <w:t>I-Thou</w:t>
      </w:r>
      <w:r w:rsidRPr="002F7DBB">
        <w:rPr>
          <w:rFonts w:ascii="Times New Roman" w:hAnsi="Times New Roman" w:cs="Times New Roman"/>
          <w:iCs/>
          <w:color w:val="000000"/>
          <w:sz w:val="24"/>
          <w:szCs w:val="24"/>
        </w:rPr>
        <w:t xml:space="preserve"> represents person as it is conscious of itself as subjectivity. Main difference is the choice between differentiation and engaging in a relation.  “</w:t>
      </w:r>
      <w:r w:rsidRPr="002F7DBB">
        <w:rPr>
          <w:rFonts w:ascii="Times New Roman" w:hAnsi="Times New Roman" w:cs="Times New Roman"/>
          <w:i/>
          <w:iCs/>
          <w:color w:val="000000"/>
          <w:sz w:val="24"/>
          <w:szCs w:val="24"/>
        </w:rPr>
        <w:t>The one is the spiritual form of detachment, the other the spiritual form of natural solidarity of connexion</w:t>
      </w:r>
      <w:r w:rsidRPr="002F7DBB">
        <w:rPr>
          <w:rStyle w:val="FootnoteReference"/>
          <w:rFonts w:ascii="Times New Roman" w:hAnsi="Times New Roman" w:cs="Times New Roman"/>
          <w:sz w:val="24"/>
          <w:szCs w:val="24"/>
        </w:rPr>
        <w:footnoteReference w:id="6"/>
      </w:r>
      <w:r w:rsidRPr="002F7DBB">
        <w:rPr>
          <w:rFonts w:ascii="Times New Roman" w:hAnsi="Times New Roman" w:cs="Times New Roman"/>
          <w:iCs/>
          <w:color w:val="000000"/>
          <w:sz w:val="24"/>
          <w:szCs w:val="24"/>
        </w:rPr>
        <w:t xml:space="preserve">”. In Buber’s understanding man becomes more personal and looks on his </w:t>
      </w:r>
      <w:r w:rsidRPr="002F7DBB">
        <w:rPr>
          <w:rFonts w:ascii="Times New Roman" w:hAnsi="Times New Roman" w:cs="Times New Roman"/>
          <w:i/>
          <w:iCs/>
          <w:color w:val="000000"/>
          <w:sz w:val="24"/>
          <w:szCs w:val="24"/>
        </w:rPr>
        <w:t>Self</w:t>
      </w:r>
      <w:r w:rsidRPr="002F7DBB">
        <w:rPr>
          <w:rFonts w:ascii="Times New Roman" w:hAnsi="Times New Roman" w:cs="Times New Roman"/>
          <w:iCs/>
          <w:color w:val="000000"/>
          <w:sz w:val="24"/>
          <w:szCs w:val="24"/>
        </w:rPr>
        <w:t xml:space="preserve"> rather than being concern with its </w:t>
      </w:r>
      <w:proofErr w:type="gramStart"/>
      <w:r w:rsidRPr="002F7DBB">
        <w:rPr>
          <w:rFonts w:ascii="Times New Roman" w:hAnsi="Times New Roman" w:cs="Times New Roman"/>
          <w:i/>
          <w:iCs/>
          <w:color w:val="000000"/>
          <w:sz w:val="24"/>
          <w:szCs w:val="24"/>
        </w:rPr>
        <w:t>My</w:t>
      </w:r>
      <w:proofErr w:type="gramEnd"/>
      <w:r w:rsidRPr="002F7DBB">
        <w:rPr>
          <w:rFonts w:ascii="Times New Roman" w:hAnsi="Times New Roman" w:cs="Times New Roman"/>
          <w:iCs/>
          <w:color w:val="000000"/>
          <w:sz w:val="24"/>
          <w:szCs w:val="24"/>
        </w:rPr>
        <w:t xml:space="preserve"> by strengthening the </w:t>
      </w:r>
      <w:r w:rsidRPr="002F7DBB">
        <w:rPr>
          <w:rFonts w:ascii="Times New Roman" w:hAnsi="Times New Roman" w:cs="Times New Roman"/>
          <w:i/>
          <w:iCs/>
          <w:color w:val="000000"/>
          <w:sz w:val="24"/>
          <w:szCs w:val="24"/>
        </w:rPr>
        <w:t>I</w:t>
      </w:r>
      <w:r w:rsidRPr="002F7DBB">
        <w:rPr>
          <w:rFonts w:ascii="Times New Roman" w:hAnsi="Times New Roman" w:cs="Times New Roman"/>
          <w:iCs/>
          <w:color w:val="000000"/>
          <w:sz w:val="24"/>
          <w:szCs w:val="24"/>
        </w:rPr>
        <w:t xml:space="preserve"> of the primary word </w:t>
      </w:r>
      <w:r w:rsidRPr="002F7DBB">
        <w:rPr>
          <w:rFonts w:ascii="Times New Roman" w:hAnsi="Times New Roman" w:cs="Times New Roman"/>
          <w:i/>
          <w:iCs/>
          <w:color w:val="000000"/>
          <w:sz w:val="24"/>
          <w:szCs w:val="24"/>
        </w:rPr>
        <w:t>I-Thou</w:t>
      </w:r>
      <w:r w:rsidRPr="002F7DBB">
        <w:rPr>
          <w:rFonts w:ascii="Times New Roman" w:hAnsi="Times New Roman" w:cs="Times New Roman"/>
          <w:iCs/>
          <w:color w:val="000000"/>
          <w:sz w:val="24"/>
          <w:szCs w:val="24"/>
        </w:rPr>
        <w:t xml:space="preserve"> in the twofold </w:t>
      </w:r>
      <w:r w:rsidRPr="002F7DBB">
        <w:rPr>
          <w:rFonts w:ascii="Times New Roman" w:hAnsi="Times New Roman" w:cs="Times New Roman"/>
          <w:i/>
          <w:iCs/>
          <w:color w:val="000000"/>
          <w:sz w:val="24"/>
          <w:szCs w:val="24"/>
        </w:rPr>
        <w:t>I</w:t>
      </w:r>
      <w:r w:rsidRPr="002F7DBB">
        <w:rPr>
          <w:rFonts w:ascii="Times New Roman" w:hAnsi="Times New Roman" w:cs="Times New Roman"/>
          <w:iCs/>
          <w:color w:val="000000"/>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In Buber’s theology/philosophy a psychological welfare can be established by finding God in everyday objects. According to Buber the eternal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is the God where all extended lines of relations meet. This also means that in every particular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in </w:t>
      </w:r>
      <w:proofErr w:type="gramStart"/>
      <w:r w:rsidRPr="002F7DBB">
        <w:rPr>
          <w:rFonts w:ascii="Times New Roman" w:hAnsi="Times New Roman" w:cs="Times New Roman"/>
          <w:sz w:val="24"/>
          <w:szCs w:val="24"/>
        </w:rPr>
        <w:t xml:space="preserve">every </w:t>
      </w:r>
      <w:r w:rsidRPr="002F7DBB">
        <w:rPr>
          <w:rFonts w:ascii="Times New Roman" w:hAnsi="Times New Roman" w:cs="Times New Roman"/>
          <w:i/>
          <w:sz w:val="24"/>
          <w:szCs w:val="24"/>
        </w:rPr>
        <w:t>I</w:t>
      </w:r>
      <w:proofErr w:type="gramEnd"/>
      <w:r w:rsidRPr="002F7DBB">
        <w:rPr>
          <w:rFonts w:ascii="Times New Roman" w:hAnsi="Times New Roman" w:cs="Times New Roman"/>
          <w:i/>
          <w:sz w:val="24"/>
          <w:szCs w:val="24"/>
        </w:rPr>
        <w:t xml:space="preserve">-Thou </w:t>
      </w:r>
      <w:r w:rsidRPr="002F7DBB">
        <w:rPr>
          <w:rFonts w:ascii="Times New Roman" w:hAnsi="Times New Roman" w:cs="Times New Roman"/>
          <w:sz w:val="24"/>
          <w:szCs w:val="24"/>
        </w:rPr>
        <w:t xml:space="preserve">relation, the eternal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is addressed or can be found through the realisation of the inborn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He also argues that the inborn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which is realised in every relation can be consummated in none but only in direct relation with the eternal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The concept of the inborn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in this sense </w:t>
      </w:r>
      <w:proofErr w:type="gramStart"/>
      <w:r w:rsidRPr="002F7DBB">
        <w:rPr>
          <w:rFonts w:ascii="Times New Roman" w:hAnsi="Times New Roman" w:cs="Times New Roman"/>
          <w:sz w:val="24"/>
          <w:szCs w:val="24"/>
        </w:rPr>
        <w:t>is</w:t>
      </w:r>
      <w:proofErr w:type="gramEnd"/>
      <w:r w:rsidRPr="002F7DBB">
        <w:rPr>
          <w:rFonts w:ascii="Times New Roman" w:hAnsi="Times New Roman" w:cs="Times New Roman"/>
          <w:sz w:val="24"/>
          <w:szCs w:val="24"/>
        </w:rPr>
        <w:t xml:space="preserve"> the longing for the idea of God or eternity of humankind, which again is only satisfied with the </w:t>
      </w:r>
      <w:r w:rsidRPr="002F7DBB">
        <w:rPr>
          <w:rFonts w:ascii="Times New Roman" w:hAnsi="Times New Roman" w:cs="Times New Roman"/>
          <w:i/>
          <w:sz w:val="24"/>
          <w:szCs w:val="24"/>
        </w:rPr>
        <w:t>glimpse of eternity</w:t>
      </w:r>
      <w:r w:rsidRPr="002F7DBB">
        <w:rPr>
          <w:rFonts w:ascii="Times New Roman" w:hAnsi="Times New Roman" w:cs="Times New Roman"/>
          <w:sz w:val="24"/>
          <w:szCs w:val="24"/>
        </w:rPr>
        <w:t xml:space="preserve">, or being consummated in eternal </w:t>
      </w:r>
      <w:r w:rsidRPr="002F7DBB">
        <w:rPr>
          <w:rFonts w:ascii="Times New Roman" w:hAnsi="Times New Roman" w:cs="Times New Roman"/>
          <w:i/>
          <w:sz w:val="24"/>
          <w:szCs w:val="24"/>
        </w:rPr>
        <w:t>Thou</w:t>
      </w:r>
      <w:r w:rsidRPr="002F7DBB">
        <w:rPr>
          <w:rStyle w:val="FootnoteReference"/>
          <w:rFonts w:ascii="Times New Roman" w:hAnsi="Times New Roman" w:cs="Times New Roman"/>
          <w:sz w:val="24"/>
          <w:szCs w:val="24"/>
        </w:rPr>
        <w:footnoteReference w:id="7"/>
      </w:r>
      <w:r w:rsidRPr="002F7DBB">
        <w:rPr>
          <w:rFonts w:ascii="Times New Roman" w:hAnsi="Times New Roman" w:cs="Times New Roman"/>
          <w:sz w:val="24"/>
          <w:szCs w:val="24"/>
        </w:rPr>
        <w:t xml:space="preserve">. By arguing the appearance of eternal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in every particular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Buber expresses the unity of being in which God can be found.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The term inborn Thou is not described in detail in the works of Buber although it is a critical step in addressing the eternal Thou (God) in every relation which then would lead to a better understanding of God or glimpse of eternity. For him such concept can only be understood through experience. I also agree that some concepts cannot be described in detail but maybe named, symbolised or highlighted. As it is going to be discussed later Paul Tillich argues similarly that symbols are capable of opening different dimensions of reality which would </w:t>
      </w:r>
      <w:r w:rsidRPr="002F7DBB">
        <w:rPr>
          <w:rFonts w:ascii="Times New Roman" w:hAnsi="Times New Roman" w:cs="Times New Roman"/>
          <w:sz w:val="24"/>
          <w:szCs w:val="24"/>
        </w:rPr>
        <w:lastRenderedPageBreak/>
        <w:t xml:space="preserve">otherwise be closed to us. I believe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achieved to present us a detailed and satisfying concept in such a critical notion. This is going to be discussed in detail in conjunction with the concept of inborn Thou.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Buber says that the eternal </w:t>
      </w:r>
      <w:r w:rsidRPr="002F7DBB">
        <w:rPr>
          <w:rFonts w:ascii="Times New Roman" w:hAnsi="Times New Roman" w:cs="Times New Roman"/>
          <w:i/>
          <w:sz w:val="24"/>
          <w:szCs w:val="24"/>
        </w:rPr>
        <w:t>Thou</w:t>
      </w:r>
      <w:r w:rsidRPr="002F7DBB">
        <w:rPr>
          <w:rFonts w:ascii="Times New Roman" w:hAnsi="Times New Roman" w:cs="Times New Roman"/>
          <w:sz w:val="24"/>
          <w:szCs w:val="24"/>
        </w:rPr>
        <w:t xml:space="preserve"> cannot be defined by material or finite things, cannot be experienced or thought. However a form of relation can be established with the eternal </w:t>
      </w:r>
      <w:r w:rsidRPr="002F7DBB">
        <w:rPr>
          <w:rFonts w:ascii="Times New Roman" w:hAnsi="Times New Roman" w:cs="Times New Roman"/>
          <w:i/>
          <w:sz w:val="24"/>
          <w:szCs w:val="24"/>
        </w:rPr>
        <w:t>Thou</w:t>
      </w:r>
      <w:r w:rsidRPr="002F7DBB">
        <w:rPr>
          <w:rFonts w:ascii="Times New Roman" w:hAnsi="Times New Roman" w:cs="Times New Roman"/>
          <w:sz w:val="24"/>
          <w:szCs w:val="24"/>
        </w:rPr>
        <w:t>. Buber extends his ideas and suggests some insight as to how this relation is established with God. According to him God enters into direct relation with us as the absolute Person, the Person who cannot be limited and gives unity to being</w:t>
      </w:r>
      <w:r w:rsidRPr="002F7DBB">
        <w:rPr>
          <w:rStyle w:val="FootnoteReference"/>
          <w:rFonts w:ascii="Times New Roman" w:hAnsi="Times New Roman" w:cs="Times New Roman"/>
          <w:sz w:val="24"/>
          <w:szCs w:val="24"/>
        </w:rPr>
        <w:footnoteReference w:id="8"/>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I think it is important in here to further discuss Buber’s concept of absolute Person. For him defining the concept of God as a principle or an idea was incorrect. So Buber stresses that he talks </w:t>
      </w:r>
      <w:r w:rsidRPr="002F7DBB">
        <w:rPr>
          <w:rFonts w:ascii="Times New Roman" w:hAnsi="Times New Roman" w:cs="Times New Roman"/>
          <w:i/>
          <w:sz w:val="24"/>
          <w:szCs w:val="24"/>
        </w:rPr>
        <w:t>only of what God is in his relation to a man</w:t>
      </w:r>
      <w:r w:rsidRPr="002F7DBB">
        <w:rPr>
          <w:rFonts w:ascii="Times New Roman" w:hAnsi="Times New Roman" w:cs="Times New Roman"/>
          <w:sz w:val="24"/>
          <w:szCs w:val="24"/>
        </w:rPr>
        <w:t>. He speaks of God in a dialogical, relational manner with human being and the universe. In his own words what he meant by God in this concept was “</w:t>
      </w:r>
      <w:r w:rsidRPr="002F7DBB">
        <w:rPr>
          <w:rFonts w:ascii="Times New Roman" w:hAnsi="Times New Roman" w:cs="Times New Roman"/>
          <w:i/>
          <w:sz w:val="24"/>
          <w:szCs w:val="24"/>
        </w:rPr>
        <w:t>… who – whatever else he may be – enters into a direct relation with us men in creative, revealing and redeeming acts, and thus makes it possible for us to enter into a direct relation with him</w:t>
      </w:r>
      <w:r w:rsidRPr="002F7DBB">
        <w:rPr>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9"/>
      </w:r>
      <w:r w:rsidRPr="002F7DBB">
        <w:rPr>
          <w:rFonts w:ascii="Times New Roman" w:hAnsi="Times New Roman" w:cs="Times New Roman"/>
          <w:sz w:val="24"/>
          <w:szCs w:val="24"/>
        </w:rPr>
        <w:t xml:space="preserve"> Bearing in mind ones incapability of </w:t>
      </w:r>
      <w:r w:rsidRPr="002F7DBB">
        <w:rPr>
          <w:rFonts w:ascii="Times New Roman" w:hAnsi="Times New Roman" w:cs="Times New Roman"/>
          <w:i/>
          <w:sz w:val="24"/>
          <w:szCs w:val="24"/>
        </w:rPr>
        <w:t>declaring what God’s essential being is</w:t>
      </w:r>
      <w:r w:rsidRPr="002F7DBB">
        <w:rPr>
          <w:rFonts w:ascii="Times New Roman" w:hAnsi="Times New Roman" w:cs="Times New Roman"/>
          <w:sz w:val="24"/>
          <w:szCs w:val="24"/>
        </w:rPr>
        <w:t xml:space="preserve">, Buber tries to show the nature of our relation, mutuality and dialogue with God. According to him a similar mutuality or relation is only possible (may be in a different level) between persons. It is on this ground he finds it </w:t>
      </w:r>
      <w:r w:rsidRPr="002F7DBB">
        <w:rPr>
          <w:rFonts w:ascii="Times New Roman" w:hAnsi="Times New Roman" w:cs="Times New Roman"/>
          <w:i/>
          <w:sz w:val="24"/>
          <w:szCs w:val="24"/>
        </w:rPr>
        <w:t>both permitted and necessary to say that God is also a Person</w:t>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A similar approach can be seen in the writings of Feuerbach. He also says,</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w:t>
      </w:r>
      <w:r w:rsidRPr="002F7DBB">
        <w:rPr>
          <w:rFonts w:ascii="Times New Roman" w:hAnsi="Times New Roman" w:cs="Times New Roman"/>
          <w:i/>
          <w:sz w:val="24"/>
          <w:szCs w:val="24"/>
        </w:rPr>
        <w:t>Religion at least Christian, is the relation of man to himself, or more correctly to his own nature; but a relation to it, viewed as a nature apart from his own. The divine being is nothing else than the human being, or, rather, the human nature purified, freed from the limits of individual man, made objective. All the attributes of the divine nature are, therefore, attributes of human nature.</w:t>
      </w:r>
      <w:r w:rsidRPr="002F7DBB">
        <w:rPr>
          <w:rFonts w:ascii="Times New Roman" w:hAnsi="Times New Roman" w:cs="Times New Roman"/>
          <w:sz w:val="24"/>
          <w:szCs w:val="24"/>
        </w:rPr>
        <w:t>”</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10"/>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Although Feuerbach uses a similar terminology to that of Buber’s, unlike him, Feuerbach sees religion as the disunion of man from himself. He presents his concept of God as the </w:t>
      </w:r>
      <w:r w:rsidRPr="002F7DBB">
        <w:rPr>
          <w:rFonts w:ascii="Times New Roman" w:hAnsi="Times New Roman" w:cs="Times New Roman"/>
          <w:sz w:val="24"/>
          <w:szCs w:val="24"/>
        </w:rPr>
        <w:lastRenderedPageBreak/>
        <w:t>antithesis of man. “</w:t>
      </w:r>
      <w:r w:rsidRPr="002F7DBB">
        <w:rPr>
          <w:rFonts w:ascii="Times New Roman" w:hAnsi="Times New Roman" w:cs="Times New Roman"/>
          <w:i/>
          <w:sz w:val="24"/>
          <w:szCs w:val="24"/>
        </w:rPr>
        <w:t>God is the infinite, man the finite being; God is perfect, man imperfect…</w:t>
      </w:r>
      <w:r w:rsidRPr="002F7DBB">
        <w:rPr>
          <w:rFonts w:ascii="Times New Roman" w:hAnsi="Times New Roman" w:cs="Times New Roman"/>
          <w:sz w:val="24"/>
          <w:szCs w:val="24"/>
        </w:rPr>
        <w:t>”</w:t>
      </w:r>
      <w:r w:rsidRPr="002F7DBB">
        <w:rPr>
          <w:rStyle w:val="FootnoteReference"/>
          <w:rFonts w:ascii="Times New Roman" w:hAnsi="Times New Roman" w:cs="Times New Roman"/>
          <w:sz w:val="24"/>
          <w:szCs w:val="24"/>
        </w:rPr>
        <w:footnoteReference w:id="11"/>
      </w:r>
      <w:r w:rsidRPr="002F7DBB">
        <w:rPr>
          <w:rFonts w:ascii="Times New Roman" w:hAnsi="Times New Roman" w:cs="Times New Roman"/>
          <w:sz w:val="24"/>
          <w:szCs w:val="24"/>
        </w:rPr>
        <w:t xml:space="preserve"> Again the terminology is similar but the conclusions are completely different.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One other point between these two thinkers is about the attributes of God. Buber realizes God’s infinitely many attributes and realizes them in three groups rather than two. </w:t>
      </w:r>
      <w:proofErr w:type="gramStart"/>
      <w:r w:rsidRPr="002F7DBB">
        <w:rPr>
          <w:rFonts w:ascii="Times New Roman" w:hAnsi="Times New Roman" w:cs="Times New Roman"/>
          <w:sz w:val="24"/>
          <w:szCs w:val="24"/>
        </w:rPr>
        <w:t>The first two, to spiritual being and to natural being.</w:t>
      </w:r>
      <w:proofErr w:type="gramEnd"/>
      <w:r w:rsidRPr="002F7DBB">
        <w:rPr>
          <w:rFonts w:ascii="Times New Roman" w:hAnsi="Times New Roman" w:cs="Times New Roman"/>
          <w:sz w:val="24"/>
          <w:szCs w:val="24"/>
        </w:rPr>
        <w:t xml:space="preserve"> The third is to personal being which would be the </w:t>
      </w:r>
      <w:r w:rsidRPr="002F7DBB">
        <w:rPr>
          <w:rFonts w:ascii="Times New Roman" w:hAnsi="Times New Roman" w:cs="Times New Roman"/>
          <w:i/>
          <w:sz w:val="24"/>
          <w:szCs w:val="24"/>
        </w:rPr>
        <w:t>stem</w:t>
      </w:r>
      <w:r w:rsidRPr="002F7DBB">
        <w:rPr>
          <w:rFonts w:ascii="Times New Roman" w:hAnsi="Times New Roman" w:cs="Times New Roman"/>
          <w:sz w:val="24"/>
          <w:szCs w:val="24"/>
        </w:rPr>
        <w:t xml:space="preserve"> for all men’s being as spirit and being as nature</w:t>
      </w:r>
      <w:r w:rsidRPr="002F7DBB">
        <w:rPr>
          <w:rStyle w:val="FootnoteReference"/>
          <w:rFonts w:ascii="Times New Roman" w:hAnsi="Times New Roman" w:cs="Times New Roman"/>
          <w:sz w:val="24"/>
          <w:szCs w:val="24"/>
        </w:rPr>
        <w:footnoteReference w:id="12"/>
      </w:r>
      <w:r w:rsidRPr="002F7DBB">
        <w:rPr>
          <w:rFonts w:ascii="Times New Roman" w:hAnsi="Times New Roman" w:cs="Times New Roman"/>
          <w:sz w:val="24"/>
          <w:szCs w:val="24"/>
        </w:rPr>
        <w:t>.  On the other hand Feuerbach has a similar understanding with a completely different stand point. According to him “</w:t>
      </w:r>
      <w:r w:rsidRPr="002F7DBB">
        <w:rPr>
          <w:rFonts w:ascii="Times New Roman" w:hAnsi="Times New Roman" w:cs="Times New Roman"/>
          <w:i/>
          <w:sz w:val="24"/>
          <w:szCs w:val="24"/>
        </w:rPr>
        <w:t>God is nothing else than the projected personality of man</w:t>
      </w:r>
      <w:r w:rsidRPr="002F7DBB">
        <w:rPr>
          <w:rFonts w:ascii="Times New Roman" w:hAnsi="Times New Roman" w:cs="Times New Roman"/>
          <w:sz w:val="24"/>
          <w:szCs w:val="24"/>
        </w:rPr>
        <w:t>”</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13"/>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I believe it is important to stress in here that these two completely different approaches both realise the help received from the concept of God or God’s attributes in trying to understand the person or personality or vice versa. This will be discussed further in the course of this study.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It may really be important to have better understanding of Buber’s suggestions about this issue, especially in the context of this study. The concept of attribute of personal being is quite novel and striking. Although I am a bit critical about some of the suggestions made by Buber, and the terminology he developed, I should again stress the importance of concepts like attribute of personal being and absolute Person. These concepts if discussed and studied in detail would lead to some conclusions in psychology, sociology as well as theology.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Buber may have only focused on the relation in between and person and absolute Person, but inevitably he explored the nature of each side in this relation. I agree with Buber, in suggesting that there should be a common or similar ground if two notions are in dialogue but using the same analogy while discussing the relation of an individual and God or as Buber chooses to say a person and God, is too much of a reductionism. Buber realizes this of course, and corrects the terminology he uses by upgrading his suggestion “</w:t>
      </w:r>
      <w:r w:rsidRPr="002F7DBB">
        <w:rPr>
          <w:rFonts w:ascii="Times New Roman" w:hAnsi="Times New Roman" w:cs="Times New Roman"/>
          <w:i/>
          <w:sz w:val="24"/>
          <w:szCs w:val="24"/>
        </w:rPr>
        <w:t>Person</w:t>
      </w:r>
      <w:r w:rsidRPr="002F7DBB">
        <w:rPr>
          <w:rFonts w:ascii="Times New Roman" w:hAnsi="Times New Roman" w:cs="Times New Roman"/>
          <w:sz w:val="24"/>
          <w:szCs w:val="24"/>
        </w:rPr>
        <w:t>” to “</w:t>
      </w:r>
      <w:r w:rsidRPr="002F7DBB">
        <w:rPr>
          <w:rFonts w:ascii="Times New Roman" w:hAnsi="Times New Roman" w:cs="Times New Roman"/>
          <w:i/>
          <w:sz w:val="24"/>
          <w:szCs w:val="24"/>
        </w:rPr>
        <w:t>absolute Person</w:t>
      </w:r>
      <w:r w:rsidRPr="002F7DBB">
        <w:rPr>
          <w:rFonts w:ascii="Times New Roman" w:hAnsi="Times New Roman" w:cs="Times New Roman"/>
          <w:sz w:val="24"/>
          <w:szCs w:val="24"/>
        </w:rPr>
        <w:t xml:space="preserve">”. This approach may be acceptable if it is criticised from an existentialist point of view.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When I say existentialist I mean looking at the concept from an individual’s point of view only. </w:t>
      </w:r>
      <w:proofErr w:type="gramStart"/>
      <w:r w:rsidRPr="002F7DBB">
        <w:rPr>
          <w:rFonts w:ascii="Times New Roman" w:hAnsi="Times New Roman" w:cs="Times New Roman"/>
          <w:sz w:val="24"/>
          <w:szCs w:val="24"/>
        </w:rPr>
        <w:t xml:space="preserve">If such an approach is accepted, than it is unnecessary to discuss if the projected image </w:t>
      </w:r>
      <w:r w:rsidRPr="002F7DBB">
        <w:rPr>
          <w:rFonts w:ascii="Times New Roman" w:hAnsi="Times New Roman" w:cs="Times New Roman"/>
          <w:sz w:val="24"/>
          <w:szCs w:val="24"/>
        </w:rPr>
        <w:lastRenderedPageBreak/>
        <w:t>of God have any deficiencies or not.</w:t>
      </w:r>
      <w:proofErr w:type="gramEnd"/>
      <w:r w:rsidRPr="002F7DBB">
        <w:rPr>
          <w:rFonts w:ascii="Times New Roman" w:hAnsi="Times New Roman" w:cs="Times New Roman"/>
          <w:sz w:val="24"/>
          <w:szCs w:val="24"/>
        </w:rPr>
        <w:t xml:space="preserve"> Because Buber already agrees the subjectivity and finitude of the person are limiting factors in understanding the essence of God. In other words Buber’s existentialist approach only discusses the persons or individuals stand point, essence and reality rather than giving equal weight to both sides. This is of course only natural. His conclusions give a better understanding than the terminology he developed.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Buber challenges many concepts and develops a universal relation which all other relations would develop from in his book </w:t>
      </w:r>
      <w:r w:rsidRPr="002F7DBB">
        <w:rPr>
          <w:rFonts w:ascii="Times New Roman" w:hAnsi="Times New Roman" w:cs="Times New Roman"/>
          <w:i/>
          <w:sz w:val="24"/>
          <w:szCs w:val="24"/>
        </w:rPr>
        <w:t>I and Thou</w:t>
      </w:r>
      <w:r w:rsidRPr="002F7DBB">
        <w:rPr>
          <w:rFonts w:ascii="Times New Roman" w:hAnsi="Times New Roman" w:cs="Times New Roman"/>
          <w:sz w:val="24"/>
          <w:szCs w:val="24"/>
        </w:rPr>
        <w:t>. D. F. Polish comments on Buber’s work as “</w:t>
      </w:r>
      <w:r w:rsidRPr="002F7DBB">
        <w:rPr>
          <w:rFonts w:ascii="Times New Roman" w:hAnsi="Times New Roman" w:cs="Times New Roman"/>
          <w:i/>
          <w:sz w:val="24"/>
          <w:szCs w:val="24"/>
        </w:rPr>
        <w:t>the notion that our own reality is shaped by relations in which we participate is the foundation of Buber’s worldview. To him, it is the definitive feature of human experience</w:t>
      </w:r>
      <w:r w:rsidRPr="002F7DBB">
        <w:rPr>
          <w:rFonts w:ascii="Times New Roman" w:hAnsi="Times New Roman" w:cs="Times New Roman"/>
          <w:sz w:val="24"/>
          <w:szCs w:val="24"/>
        </w:rPr>
        <w:t>”</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14"/>
      </w:r>
      <w:r w:rsidRPr="002F7DBB">
        <w:rPr>
          <w:rFonts w:ascii="Times New Roman" w:hAnsi="Times New Roman" w:cs="Times New Roman"/>
          <w:i/>
          <w:sz w:val="24"/>
          <w:szCs w:val="24"/>
        </w:rPr>
        <w:t xml:space="preserve"> </w:t>
      </w:r>
      <w:r w:rsidRPr="002F7DBB">
        <w:rPr>
          <w:rFonts w:ascii="Times New Roman" w:hAnsi="Times New Roman" w:cs="Times New Roman"/>
          <w:sz w:val="24"/>
          <w:szCs w:val="24"/>
        </w:rPr>
        <w:t xml:space="preserve"> His dialogue philosophy can bring some light to different disciplines from theology to sociology and psychology and also would help us in exploring some different or similar ideas in the context of this study.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Buber’s discussion of the concept of God through the personal attributes and in relation to self is a key element for this study as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also develops a similar approach. But the main difference between the two may be the systematic and descriptive approach of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As explained before Buber highlights some key elements but his writings lack the dept in describing and presenting these terms. This may be a reason to why he has been considered as a mystic in many circles.  </w:t>
      </w:r>
    </w:p>
    <w:p w:rsidR="00773CD7" w:rsidRPr="002F7DBB" w:rsidRDefault="00773CD7" w:rsidP="00773CD7">
      <w:pPr>
        <w:pStyle w:val="Title"/>
        <w:rPr>
          <w:rFonts w:ascii="Times New Roman" w:hAnsi="Times New Roman" w:cs="Times New Roman"/>
          <w:sz w:val="24"/>
          <w:szCs w:val="24"/>
        </w:rPr>
      </w:pPr>
      <w:r w:rsidRPr="002F7DBB">
        <w:rPr>
          <w:rFonts w:ascii="Times New Roman" w:hAnsi="Times New Roman" w:cs="Times New Roman"/>
          <w:sz w:val="24"/>
          <w:szCs w:val="24"/>
        </w:rPr>
        <w:t>Paul Tillich</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Paul Tillich was a theologian who was aware of the impacts of the new bunch of references set by the modern times, especially scientific and technical. This may be one of the reasons to why his theology/philosophy was so popular, stimulating and different. He developed his theology to satisfy the individual of modern times. </w:t>
      </w:r>
      <w:r w:rsidRPr="002F7DBB">
        <w:rPr>
          <w:rFonts w:ascii="Times New Roman" w:hAnsi="Times New Roman" w:cs="Times New Roman"/>
          <w:sz w:val="24"/>
          <w:szCs w:val="24"/>
        </w:rPr>
        <w:t xml:space="preserve">Although he </w:t>
      </w:r>
      <w:r w:rsidRPr="002F7DBB">
        <w:rPr>
          <w:rFonts w:ascii="Times New Roman" w:hAnsi="Times New Roman" w:cs="Times New Roman"/>
          <w:iCs/>
          <w:sz w:val="24"/>
          <w:szCs w:val="24"/>
        </w:rPr>
        <w:t xml:space="preserve">speaks of Christian theology, I think his description is valid and useful for people from different faiths. He says that </w:t>
      </w:r>
      <w:r w:rsidRPr="002F7DBB">
        <w:rPr>
          <w:rFonts w:ascii="Times New Roman" w:hAnsi="Times New Roman" w:cs="Times New Roman"/>
          <w:i/>
          <w:iCs/>
          <w:sz w:val="24"/>
          <w:szCs w:val="24"/>
        </w:rPr>
        <w:t>“theology moves back and forth between two poles, the eternal truth of its foundation and the temporal situation in which the eternal truth must be received</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15"/>
      </w:r>
      <w:r w:rsidRPr="002F7DBB">
        <w:rPr>
          <w:rFonts w:ascii="Times New Roman" w:hAnsi="Times New Roman" w:cs="Times New Roman"/>
          <w:i/>
          <w:iCs/>
          <w:sz w:val="24"/>
          <w:szCs w:val="24"/>
        </w:rPr>
        <w:t>.”</w:t>
      </w:r>
      <w:r w:rsidRPr="002F7DBB">
        <w:rPr>
          <w:rFonts w:ascii="Times New Roman" w:hAnsi="Times New Roman" w:cs="Times New Roman"/>
          <w:iCs/>
          <w:sz w:val="24"/>
          <w:szCs w:val="24"/>
        </w:rPr>
        <w:t xml:space="preserve"> If a set of references are imposed on a different set, without maintaining the connections with its domain than the transitory is elevated to a level of eternal validity. This may be named as religious orthodoxy or fundamentalism. </w:t>
      </w:r>
    </w:p>
    <w:p w:rsidR="00773CD7" w:rsidRPr="002F7DBB" w:rsidRDefault="00773CD7" w:rsidP="00773CD7">
      <w:pPr>
        <w:spacing w:line="360" w:lineRule="auto"/>
        <w:jc w:val="both"/>
        <w:rPr>
          <w:rFonts w:ascii="Times New Roman" w:hAnsi="Times New Roman" w:cs="Times New Roman"/>
          <w:iCs/>
          <w:sz w:val="24"/>
          <w:szCs w:val="24"/>
        </w:rPr>
      </w:pPr>
      <w:proofErr w:type="spellStart"/>
      <w:r w:rsidRPr="002F7DBB">
        <w:rPr>
          <w:rFonts w:ascii="Times New Roman" w:hAnsi="Times New Roman" w:cs="Times New Roman"/>
          <w:iCs/>
          <w:sz w:val="24"/>
          <w:szCs w:val="24"/>
        </w:rPr>
        <w:lastRenderedPageBreak/>
        <w:t>Aliye</w:t>
      </w:r>
      <w:proofErr w:type="spellEnd"/>
      <w:r w:rsidRPr="002F7DBB">
        <w:rPr>
          <w:rFonts w:ascii="Times New Roman" w:hAnsi="Times New Roman" w:cs="Times New Roman"/>
          <w:iCs/>
          <w:sz w:val="24"/>
          <w:szCs w:val="24"/>
        </w:rPr>
        <w:t xml:space="preserve"> </w:t>
      </w:r>
      <w:proofErr w:type="spellStart"/>
      <w:r w:rsidRPr="002F7DBB">
        <w:rPr>
          <w:rFonts w:ascii="Times New Roman" w:hAnsi="Times New Roman" w:cs="Times New Roman"/>
          <w:iCs/>
          <w:sz w:val="24"/>
          <w:szCs w:val="24"/>
        </w:rPr>
        <w:t>Cinar</w:t>
      </w:r>
      <w:proofErr w:type="spellEnd"/>
      <w:r w:rsidRPr="002F7DBB">
        <w:rPr>
          <w:rFonts w:ascii="Times New Roman" w:hAnsi="Times New Roman" w:cs="Times New Roman"/>
          <w:iCs/>
          <w:sz w:val="24"/>
          <w:szCs w:val="24"/>
        </w:rPr>
        <w:t xml:space="preserve"> says that according to Paul Tillich the main problem for theologians was trying to explain the God of the Book with the new findings of science</w:t>
      </w:r>
      <w:r w:rsidRPr="002F7DBB">
        <w:rPr>
          <w:rStyle w:val="FootnoteReference"/>
          <w:rFonts w:ascii="Times New Roman" w:hAnsi="Times New Roman" w:cs="Times New Roman"/>
          <w:sz w:val="24"/>
          <w:szCs w:val="24"/>
        </w:rPr>
        <w:footnoteReference w:id="16"/>
      </w:r>
      <w:r w:rsidRPr="002F7DBB">
        <w:rPr>
          <w:rFonts w:ascii="Times New Roman" w:hAnsi="Times New Roman" w:cs="Times New Roman"/>
          <w:iCs/>
          <w:sz w:val="24"/>
          <w:szCs w:val="24"/>
        </w:rPr>
        <w:t>. Realising the new set of references, he was able to suggest tangible solutions to the problems, rather than adapting one notion to the other. His analysis of religion and religious life in his time is still convincing. According to him modern man “</w:t>
      </w:r>
      <w:r w:rsidRPr="002F7DBB">
        <w:rPr>
          <w:rFonts w:ascii="Times New Roman" w:hAnsi="Times New Roman" w:cs="Times New Roman"/>
          <w:i/>
          <w:iCs/>
          <w:sz w:val="24"/>
          <w:szCs w:val="24"/>
        </w:rPr>
        <w:t>feels that the concrete religions fail to express their profound concern adequately”</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17"/>
      </w:r>
      <w:r w:rsidRPr="002F7DBB">
        <w:rPr>
          <w:rFonts w:ascii="Times New Roman" w:hAnsi="Times New Roman" w:cs="Times New Roman"/>
          <w:iCs/>
          <w:sz w:val="24"/>
          <w:szCs w:val="24"/>
        </w:rPr>
        <w:t xml:space="preserve">. In his analysis he focuses on the </w:t>
      </w:r>
      <w:r w:rsidRPr="002F7DBB">
        <w:rPr>
          <w:rFonts w:ascii="Times New Roman" w:hAnsi="Times New Roman" w:cs="Times New Roman"/>
          <w:i/>
          <w:iCs/>
          <w:sz w:val="24"/>
          <w:szCs w:val="24"/>
        </w:rPr>
        <w:t>dimension of depth</w:t>
      </w:r>
      <w:r w:rsidRPr="002F7DBB">
        <w:rPr>
          <w:rFonts w:ascii="Times New Roman" w:hAnsi="Times New Roman" w:cs="Times New Roman"/>
          <w:iCs/>
          <w:sz w:val="24"/>
          <w:szCs w:val="24"/>
        </w:rPr>
        <w:t xml:space="preserve"> which has been lost in religion. This loss in the minds and appreciation of man is a consequence of the new set of references in our understanding of the world. In his own words;</w:t>
      </w:r>
    </w:p>
    <w:p w:rsidR="00773CD7" w:rsidRPr="002F7DBB" w:rsidRDefault="00773CD7" w:rsidP="00773CD7">
      <w:pPr>
        <w:spacing w:line="360" w:lineRule="auto"/>
        <w:jc w:val="both"/>
        <w:rPr>
          <w:rFonts w:ascii="Times New Roman" w:hAnsi="Times New Roman" w:cs="Times New Roman"/>
          <w:i/>
          <w:iCs/>
          <w:sz w:val="24"/>
          <w:szCs w:val="24"/>
        </w:rPr>
      </w:pPr>
      <w:r w:rsidRPr="002F7DBB">
        <w:rPr>
          <w:rFonts w:ascii="Times New Roman" w:hAnsi="Times New Roman" w:cs="Times New Roman"/>
          <w:iCs/>
          <w:sz w:val="24"/>
          <w:szCs w:val="24"/>
        </w:rPr>
        <w:t>“</w:t>
      </w:r>
      <w:r w:rsidRPr="002F7DBB">
        <w:rPr>
          <w:rFonts w:ascii="Times New Roman" w:hAnsi="Times New Roman" w:cs="Times New Roman"/>
          <w:i/>
          <w:iCs/>
          <w:sz w:val="24"/>
          <w:szCs w:val="24"/>
        </w:rPr>
        <w:t>The loss of the dimension is caused by the relation of man to his world and to himself in our period, the period in which nature is being subjected scientifically and technically to the control of man. In this period, life in the dimension of depth is replaced by life in the horizontal dimension</w:t>
      </w:r>
      <w:r w:rsidRPr="002F7DBB">
        <w:rPr>
          <w:rStyle w:val="FootnoteReference"/>
          <w:rFonts w:ascii="Times New Roman" w:hAnsi="Times New Roman" w:cs="Times New Roman"/>
          <w:sz w:val="24"/>
          <w:szCs w:val="24"/>
        </w:rPr>
        <w:footnoteReference w:id="18"/>
      </w:r>
      <w:r w:rsidRPr="002F7DBB">
        <w:rPr>
          <w:rFonts w:ascii="Times New Roman" w:hAnsi="Times New Roman" w:cs="Times New Roman"/>
          <w:i/>
          <w:iCs/>
          <w:sz w:val="24"/>
          <w:szCs w:val="24"/>
        </w:rPr>
        <w:t xml:space="preserve">.”  </w:t>
      </w:r>
      <w:r w:rsidRPr="002F7DBB">
        <w:rPr>
          <w:rFonts w:ascii="Times New Roman" w:hAnsi="Times New Roman" w:cs="Times New Roman"/>
          <w:iCs/>
          <w:sz w:val="24"/>
          <w:szCs w:val="24"/>
        </w:rPr>
        <w:t xml:space="preserve">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The development in our industrialized society is not vertical but horizontal, and Paul Tillich thinks that the boundary of this development is not definable. The individual in his horizontal development transforms everything into a tool with an inevitable conclusion of being a tool himself, or an object among objects. “</w:t>
      </w:r>
      <w:r w:rsidRPr="002F7DBB">
        <w:rPr>
          <w:rFonts w:ascii="Times New Roman" w:hAnsi="Times New Roman" w:cs="Times New Roman"/>
          <w:i/>
          <w:iCs/>
          <w:sz w:val="24"/>
          <w:szCs w:val="24"/>
        </w:rPr>
        <w:t>But he asks, a tool for what, there is no answer</w:t>
      </w:r>
      <w:r w:rsidRPr="002F7DBB">
        <w:rPr>
          <w:rStyle w:val="FootnoteReference"/>
          <w:rFonts w:ascii="Times New Roman" w:hAnsi="Times New Roman" w:cs="Times New Roman"/>
          <w:sz w:val="24"/>
          <w:szCs w:val="24"/>
        </w:rPr>
        <w:footnoteReference w:id="19"/>
      </w:r>
      <w:r w:rsidRPr="002F7DBB">
        <w:rPr>
          <w:rFonts w:ascii="Times New Roman" w:hAnsi="Times New Roman" w:cs="Times New Roman"/>
          <w:i/>
          <w:iCs/>
          <w:sz w:val="24"/>
          <w:szCs w:val="24"/>
        </w:rPr>
        <w:t>.</w:t>
      </w:r>
      <w:r w:rsidRPr="002F7DBB">
        <w:rPr>
          <w:rFonts w:ascii="Times New Roman" w:hAnsi="Times New Roman" w:cs="Times New Roman"/>
          <w:iCs/>
          <w:sz w:val="24"/>
          <w:szCs w:val="24"/>
        </w:rPr>
        <w:t>”</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Of course Paul Tillich has some answers to the question of </w:t>
      </w:r>
      <w:r w:rsidRPr="002F7DBB">
        <w:rPr>
          <w:rFonts w:ascii="Times New Roman" w:hAnsi="Times New Roman" w:cs="Times New Roman"/>
          <w:i/>
          <w:iCs/>
          <w:sz w:val="24"/>
          <w:szCs w:val="24"/>
        </w:rPr>
        <w:t>how to regain the dimension of depth.</w:t>
      </w:r>
      <w:r w:rsidRPr="002F7DBB">
        <w:rPr>
          <w:rFonts w:ascii="Times New Roman" w:hAnsi="Times New Roman" w:cs="Times New Roman"/>
          <w:iCs/>
          <w:sz w:val="24"/>
          <w:szCs w:val="24"/>
        </w:rPr>
        <w:t xml:space="preserve"> Realization of this lost dimension is his answer; “</w:t>
      </w:r>
      <w:r w:rsidRPr="002F7DBB">
        <w:rPr>
          <w:rFonts w:ascii="Times New Roman" w:hAnsi="Times New Roman" w:cs="Times New Roman"/>
          <w:i/>
          <w:iCs/>
          <w:sz w:val="24"/>
          <w:szCs w:val="24"/>
        </w:rPr>
        <w:t>... by this realization that he is not only separated but also reunited</w:t>
      </w:r>
      <w:r w:rsidRPr="002F7DBB">
        <w:rPr>
          <w:rStyle w:val="FootnoteReference"/>
          <w:rFonts w:ascii="Times New Roman" w:hAnsi="Times New Roman" w:cs="Times New Roman"/>
          <w:sz w:val="24"/>
          <w:szCs w:val="24"/>
        </w:rPr>
        <w:footnoteReference w:id="20"/>
      </w:r>
      <w:r w:rsidRPr="002F7DBB">
        <w:rPr>
          <w:rFonts w:ascii="Times New Roman" w:hAnsi="Times New Roman" w:cs="Times New Roman"/>
          <w:i/>
          <w:iCs/>
          <w:sz w:val="24"/>
          <w:szCs w:val="24"/>
        </w:rPr>
        <w:t>.</w:t>
      </w:r>
      <w:r w:rsidRPr="002F7DBB">
        <w:rPr>
          <w:rFonts w:ascii="Times New Roman" w:hAnsi="Times New Roman" w:cs="Times New Roman"/>
          <w:iCs/>
          <w:sz w:val="24"/>
          <w:szCs w:val="24"/>
        </w:rPr>
        <w:t>”</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To regain this lost dimension in religion and truly interpret the message in today’s society, one of the key concepts that Tillich explores is the </w:t>
      </w:r>
      <w:r w:rsidRPr="002F7DBB">
        <w:rPr>
          <w:rFonts w:ascii="Times New Roman" w:hAnsi="Times New Roman" w:cs="Times New Roman"/>
          <w:i/>
          <w:iCs/>
          <w:sz w:val="24"/>
          <w:szCs w:val="24"/>
        </w:rPr>
        <w:t>symbols of faith</w:t>
      </w:r>
      <w:r w:rsidRPr="002F7DBB">
        <w:rPr>
          <w:rFonts w:ascii="Times New Roman" w:hAnsi="Times New Roman" w:cs="Times New Roman"/>
          <w:iCs/>
          <w:sz w:val="24"/>
          <w:szCs w:val="24"/>
        </w:rPr>
        <w:t>. The symbols or metaphors are also the only tools for us to have a glimpse of the ultimate reality or being-itself. So “</w:t>
      </w:r>
      <w:r w:rsidRPr="002F7DBB">
        <w:rPr>
          <w:rFonts w:ascii="Times New Roman" w:hAnsi="Times New Roman" w:cs="Times New Roman"/>
          <w:i/>
          <w:iCs/>
          <w:sz w:val="24"/>
          <w:szCs w:val="24"/>
        </w:rPr>
        <w:t>every assertion about being-itself is either metaphorical or symbolic</w:t>
      </w:r>
      <w:r w:rsidRPr="002F7DBB">
        <w:rPr>
          <w:rStyle w:val="FootnoteReference"/>
          <w:rFonts w:ascii="Times New Roman" w:hAnsi="Times New Roman" w:cs="Times New Roman"/>
          <w:sz w:val="24"/>
          <w:szCs w:val="24"/>
        </w:rPr>
        <w:footnoteReference w:id="21"/>
      </w:r>
      <w:r w:rsidRPr="002F7DBB">
        <w:rPr>
          <w:rFonts w:ascii="Times New Roman" w:hAnsi="Times New Roman" w:cs="Times New Roman"/>
          <w:iCs/>
          <w:sz w:val="24"/>
          <w:szCs w:val="24"/>
        </w:rPr>
        <w:t>”. According to Tillich one of the “</w:t>
      </w:r>
      <w:r w:rsidRPr="002F7DBB">
        <w:rPr>
          <w:rFonts w:ascii="Times New Roman" w:hAnsi="Times New Roman" w:cs="Times New Roman"/>
          <w:i/>
          <w:iCs/>
          <w:sz w:val="24"/>
          <w:szCs w:val="24"/>
        </w:rPr>
        <w:t xml:space="preserve">characteristic of a symbol is that it opens up levels of reality which </w:t>
      </w:r>
      <w:r w:rsidRPr="002F7DBB">
        <w:rPr>
          <w:rFonts w:ascii="Times New Roman" w:hAnsi="Times New Roman" w:cs="Times New Roman"/>
          <w:i/>
          <w:iCs/>
          <w:sz w:val="24"/>
          <w:szCs w:val="24"/>
        </w:rPr>
        <w:lastRenderedPageBreak/>
        <w:t>otherwise are closed for us.</w:t>
      </w:r>
      <w:r w:rsidRPr="002F7DBB">
        <w:rPr>
          <w:rFonts w:ascii="Times New Roman" w:hAnsi="Times New Roman" w:cs="Times New Roman"/>
          <w:iCs/>
          <w:sz w:val="24"/>
          <w:szCs w:val="24"/>
        </w:rPr>
        <w:t>” By considering the symbolic nature of art, Tillich says that; “</w:t>
      </w:r>
      <w:r w:rsidRPr="002F7DBB">
        <w:rPr>
          <w:rFonts w:ascii="Times New Roman" w:hAnsi="Times New Roman" w:cs="Times New Roman"/>
          <w:i/>
          <w:iCs/>
          <w:sz w:val="24"/>
          <w:szCs w:val="24"/>
        </w:rPr>
        <w:t>a picture or a poem reveal elements of reality which cannot be approached scientifically</w:t>
      </w:r>
      <w:r w:rsidRPr="002F7DBB">
        <w:rPr>
          <w:rStyle w:val="FootnoteReference"/>
          <w:rFonts w:ascii="Times New Roman" w:hAnsi="Times New Roman" w:cs="Times New Roman"/>
          <w:sz w:val="24"/>
          <w:szCs w:val="24"/>
        </w:rPr>
        <w:footnoteReference w:id="22"/>
      </w:r>
      <w:r w:rsidRPr="002F7DBB">
        <w:rPr>
          <w:rFonts w:ascii="Times New Roman" w:hAnsi="Times New Roman" w:cs="Times New Roman"/>
          <w:iCs/>
          <w:sz w:val="24"/>
          <w:szCs w:val="24"/>
        </w:rPr>
        <w:t xml:space="preserve">”.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Paul Tillich appreciates the impossibility of discussing which is not in the realm of our senses or rationale, in its terms. But although man is finite in his experiences, feelings etc, there is an </w:t>
      </w:r>
      <w:r w:rsidRPr="002F7DBB">
        <w:rPr>
          <w:rFonts w:ascii="Times New Roman" w:hAnsi="Times New Roman" w:cs="Times New Roman"/>
          <w:i/>
          <w:iCs/>
          <w:sz w:val="24"/>
          <w:szCs w:val="24"/>
        </w:rPr>
        <w:t>element of infinity in man</w:t>
      </w:r>
      <w:r w:rsidRPr="002F7DBB">
        <w:rPr>
          <w:rFonts w:ascii="Times New Roman" w:hAnsi="Times New Roman" w:cs="Times New Roman"/>
          <w:iCs/>
          <w:sz w:val="24"/>
          <w:szCs w:val="24"/>
        </w:rPr>
        <w:t xml:space="preserve">, or a </w:t>
      </w:r>
      <w:r w:rsidRPr="002F7DBB">
        <w:rPr>
          <w:rFonts w:ascii="Times New Roman" w:hAnsi="Times New Roman" w:cs="Times New Roman"/>
          <w:i/>
          <w:iCs/>
          <w:sz w:val="24"/>
          <w:szCs w:val="24"/>
        </w:rPr>
        <w:t>passion for the infinite</w:t>
      </w:r>
      <w:r w:rsidRPr="002F7DBB">
        <w:rPr>
          <w:rFonts w:ascii="Times New Roman" w:hAnsi="Times New Roman" w:cs="Times New Roman"/>
          <w:iCs/>
          <w:sz w:val="24"/>
          <w:szCs w:val="24"/>
        </w:rPr>
        <w:t>. Tillich sees faith as a human potentiality because “</w:t>
      </w:r>
      <w:r w:rsidRPr="002F7DBB">
        <w:rPr>
          <w:rFonts w:ascii="Times New Roman" w:hAnsi="Times New Roman" w:cs="Times New Roman"/>
          <w:i/>
          <w:iCs/>
          <w:sz w:val="24"/>
          <w:szCs w:val="24"/>
        </w:rPr>
        <w:t>man is able to understand in an immediate personal and central act the meaning of the ultimate, the unconditional, the absolute, the infinite</w:t>
      </w:r>
      <w:r w:rsidRPr="002F7DBB">
        <w:rPr>
          <w:rStyle w:val="FootnoteReference"/>
          <w:rFonts w:ascii="Times New Roman" w:hAnsi="Times New Roman" w:cs="Times New Roman"/>
          <w:sz w:val="24"/>
          <w:szCs w:val="24"/>
        </w:rPr>
        <w:footnoteReference w:id="23"/>
      </w:r>
      <w:r w:rsidRPr="002F7DBB">
        <w:rPr>
          <w:rFonts w:ascii="Times New Roman" w:hAnsi="Times New Roman" w:cs="Times New Roman"/>
          <w:iCs/>
          <w:sz w:val="24"/>
          <w:szCs w:val="24"/>
        </w:rPr>
        <w:t xml:space="preserve">.” In his understanding symbols are all we have in our inadequate finitude.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It is a fact that symbols, just like Tillich says, can reveal elements of reality which otherwise would be closed to us; but symbols on their own cannot be enough to have an understanding of the concept of God. Another problem may be the difficulties associated with the interpretation of symbols for every individual. Stating the importance of symbols is a reality but it does not really help in the context. This is another critical point where the writings of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w:t>
      </w:r>
      <w:proofErr w:type="spellEnd"/>
      <w:r w:rsidRPr="002F7DBB">
        <w:rPr>
          <w:rFonts w:ascii="Times New Roman" w:hAnsi="Times New Roman" w:cs="Times New Roman"/>
          <w:iCs/>
          <w:sz w:val="24"/>
          <w:szCs w:val="24"/>
        </w:rPr>
        <w:t xml:space="preserve"> appears to have achieved a very challenging task; the introduction of a dynamic tool to every individual to explore the secrets of the self in relation to the concept of God.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It may be as a result of Tillich’s existential orientation that he develops the situations or questions and from there moves back to the situation of human/being in front of or against that situation. For example the fundamental question of theology about God. Tillich believes that such a question would only be possible with an awareness of God being present. According to him this awareness precedes the question because the answer is already implied in the question. And this awareness is from his essential being (fulfilled potential - infinite) rather than his actual being (actual - finite)</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24"/>
      </w:r>
      <w:r w:rsidRPr="002F7DBB">
        <w:rPr>
          <w:rFonts w:ascii="Times New Roman" w:hAnsi="Times New Roman" w:cs="Times New Roman"/>
          <w:iCs/>
          <w:sz w:val="24"/>
          <w:szCs w:val="24"/>
        </w:rPr>
        <w:t>. There comes the concept of potential infinity being present in actual finitude. This potential infinity or the awareness of infinity to which man belongs is the main driving force toward faith. In Tillich’s theology/philosophy this is an unconditional concern which is the concern about the unconditional. I think it is important in here to clarify what Tillich means by “concern”. “</w:t>
      </w:r>
      <w:r w:rsidRPr="002F7DBB">
        <w:rPr>
          <w:rFonts w:ascii="Times New Roman" w:hAnsi="Times New Roman" w:cs="Times New Roman"/>
          <w:i/>
          <w:iCs/>
          <w:sz w:val="24"/>
          <w:szCs w:val="24"/>
        </w:rPr>
        <w:t>The word “concern” points to two sides of a relationship, relation between the one who is concerned and his concern</w:t>
      </w:r>
      <w:r w:rsidRPr="002F7DBB">
        <w:rPr>
          <w:rStyle w:val="FootnoteReference"/>
          <w:rFonts w:ascii="Times New Roman" w:hAnsi="Times New Roman" w:cs="Times New Roman"/>
          <w:sz w:val="24"/>
          <w:szCs w:val="24"/>
        </w:rPr>
        <w:footnoteReference w:id="25"/>
      </w:r>
      <w:r w:rsidRPr="002F7DBB">
        <w:rPr>
          <w:rFonts w:ascii="Times New Roman" w:hAnsi="Times New Roman" w:cs="Times New Roman"/>
          <w:i/>
          <w:iCs/>
          <w:sz w:val="24"/>
          <w:szCs w:val="24"/>
        </w:rPr>
        <w:t>.”</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iCs/>
          <w:sz w:val="24"/>
          <w:szCs w:val="24"/>
        </w:rPr>
        <w:lastRenderedPageBreak/>
        <w:t xml:space="preserve">Tillich </w:t>
      </w:r>
      <w:r w:rsidRPr="002F7DBB">
        <w:rPr>
          <w:rFonts w:ascii="Times New Roman" w:hAnsi="Times New Roman" w:cs="Times New Roman"/>
          <w:sz w:val="24"/>
          <w:szCs w:val="24"/>
        </w:rPr>
        <w:t xml:space="preserve">does not think of God as </w:t>
      </w:r>
      <w:r w:rsidRPr="002F7DBB">
        <w:rPr>
          <w:rFonts w:ascii="Times New Roman" w:hAnsi="Times New Roman" w:cs="Times New Roman"/>
          <w:iCs/>
          <w:sz w:val="24"/>
          <w:szCs w:val="24"/>
        </w:rPr>
        <w:t>a</w:t>
      </w:r>
      <w:r w:rsidRPr="002F7DBB">
        <w:rPr>
          <w:rFonts w:ascii="Times New Roman" w:hAnsi="Times New Roman" w:cs="Times New Roman"/>
          <w:sz w:val="24"/>
          <w:szCs w:val="24"/>
        </w:rPr>
        <w:t xml:space="preserve"> being which exists in time and space, because such a pathway of thinking constrains God within a finite frame. But all beings are finite, and if God is the Creator of all beings, God cannot logically be finite since a finite being cannot be the </w:t>
      </w:r>
      <w:proofErr w:type="spellStart"/>
      <w:r w:rsidRPr="002F7DBB">
        <w:rPr>
          <w:rFonts w:ascii="Times New Roman" w:hAnsi="Times New Roman" w:cs="Times New Roman"/>
          <w:sz w:val="24"/>
          <w:szCs w:val="24"/>
        </w:rPr>
        <w:t>sustainer</w:t>
      </w:r>
      <w:proofErr w:type="spellEnd"/>
      <w:r w:rsidRPr="002F7DBB">
        <w:rPr>
          <w:rFonts w:ascii="Times New Roman" w:hAnsi="Times New Roman" w:cs="Times New Roman"/>
          <w:sz w:val="24"/>
          <w:szCs w:val="24"/>
        </w:rPr>
        <w:t xml:space="preserve"> of an infinite variety of finite things. Thus God is considered beyond being, above finitude and limitation, the power or essence of </w:t>
      </w:r>
      <w:r w:rsidRPr="002F7DBB">
        <w:rPr>
          <w:rFonts w:ascii="Times New Roman" w:hAnsi="Times New Roman" w:cs="Times New Roman"/>
          <w:i/>
          <w:sz w:val="24"/>
          <w:szCs w:val="24"/>
        </w:rPr>
        <w:t>being itself</w:t>
      </w:r>
      <w:r w:rsidRPr="002F7DBB">
        <w:rPr>
          <w:rFonts w:ascii="Times New Roman" w:hAnsi="Times New Roman" w:cs="Times New Roman"/>
          <w:sz w:val="24"/>
          <w:szCs w:val="24"/>
        </w:rPr>
        <w:t xml:space="preserve">. Tillich stated that since things in existence are corrupt and therefore ambiguous, no finite thing can be (by itself) infinite. All that is possible is for the finite to be a vehicle for revealing the infinite, but the two should never be confused.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Tillich argues that God is the “</w:t>
      </w:r>
      <w:r w:rsidRPr="002F7DBB">
        <w:rPr>
          <w:rFonts w:ascii="Times New Roman" w:hAnsi="Times New Roman" w:cs="Times New Roman"/>
          <w:i/>
          <w:iCs/>
          <w:sz w:val="24"/>
          <w:szCs w:val="24"/>
        </w:rPr>
        <w:t>ultimate concern</w:t>
      </w:r>
      <w:r w:rsidRPr="002F7DBB">
        <w:rPr>
          <w:rFonts w:ascii="Times New Roman" w:hAnsi="Times New Roman" w:cs="Times New Roman"/>
          <w:iCs/>
          <w:sz w:val="24"/>
          <w:szCs w:val="24"/>
        </w:rPr>
        <w:t>” and this “</w:t>
      </w:r>
      <w:r w:rsidRPr="002F7DBB">
        <w:rPr>
          <w:rFonts w:ascii="Times New Roman" w:hAnsi="Times New Roman" w:cs="Times New Roman"/>
          <w:i/>
          <w:iCs/>
          <w:sz w:val="24"/>
          <w:szCs w:val="24"/>
        </w:rPr>
        <w:t>ultimate concern must transcend every preliminary finite and concrete concern”</w:t>
      </w:r>
      <w:r w:rsidRPr="002F7DBB">
        <w:rPr>
          <w:rFonts w:ascii="Times New Roman" w:hAnsi="Times New Roman" w:cs="Times New Roman"/>
          <w:iCs/>
          <w:sz w:val="24"/>
          <w:szCs w:val="24"/>
        </w:rPr>
        <w:t>. In other words this concern must declare supremacy over every other concern. Tillich explains what he calls the “</w:t>
      </w:r>
      <w:r w:rsidRPr="002F7DBB">
        <w:rPr>
          <w:rFonts w:ascii="Times New Roman" w:hAnsi="Times New Roman" w:cs="Times New Roman"/>
          <w:i/>
          <w:iCs/>
          <w:sz w:val="24"/>
          <w:szCs w:val="24"/>
        </w:rPr>
        <w:t>inescapable inner tension in the idea of God”</w:t>
      </w:r>
      <w:r w:rsidRPr="002F7DBB">
        <w:rPr>
          <w:rFonts w:ascii="Times New Roman" w:hAnsi="Times New Roman" w:cs="Times New Roman"/>
          <w:iCs/>
          <w:sz w:val="24"/>
          <w:szCs w:val="24"/>
        </w:rPr>
        <w:t xml:space="preserve"> as;</w:t>
      </w:r>
    </w:p>
    <w:p w:rsidR="00773CD7" w:rsidRPr="002F7DBB" w:rsidRDefault="00773CD7" w:rsidP="00773CD7">
      <w:pPr>
        <w:spacing w:line="360" w:lineRule="auto"/>
        <w:jc w:val="both"/>
        <w:rPr>
          <w:rFonts w:ascii="Times New Roman" w:hAnsi="Times New Roman" w:cs="Times New Roman"/>
          <w:i/>
          <w:iCs/>
          <w:sz w:val="24"/>
          <w:szCs w:val="24"/>
        </w:rPr>
      </w:pPr>
      <w:r w:rsidRPr="002F7DBB">
        <w:rPr>
          <w:rFonts w:ascii="Times New Roman" w:hAnsi="Times New Roman" w:cs="Times New Roman"/>
          <w:iCs/>
          <w:sz w:val="24"/>
          <w:szCs w:val="24"/>
        </w:rPr>
        <w:t>“</w:t>
      </w:r>
      <w:r w:rsidRPr="002F7DBB">
        <w:rPr>
          <w:rFonts w:ascii="Times New Roman" w:hAnsi="Times New Roman" w:cs="Times New Roman"/>
          <w:i/>
          <w:iCs/>
          <w:sz w:val="24"/>
          <w:szCs w:val="24"/>
        </w:rPr>
        <w:t xml:space="preserve">It </w:t>
      </w:r>
      <w:r w:rsidRPr="002F7DBB">
        <w:rPr>
          <w:rFonts w:ascii="Times New Roman" w:hAnsi="Times New Roman" w:cs="Times New Roman"/>
          <w:iCs/>
          <w:sz w:val="24"/>
          <w:szCs w:val="24"/>
        </w:rPr>
        <w:t>(ultimate concern)</w:t>
      </w:r>
      <w:r w:rsidRPr="002F7DBB">
        <w:rPr>
          <w:rFonts w:ascii="Times New Roman" w:hAnsi="Times New Roman" w:cs="Times New Roman"/>
          <w:i/>
          <w:iCs/>
          <w:sz w:val="24"/>
          <w:szCs w:val="24"/>
        </w:rPr>
        <w:t xml:space="preserve"> must transcend the whole realm of finitude in order to be the answer to the question implied in finitude. But in transcending the finite the religious concern loses the concreteness of a being-to-being relationship. It tends to become not only absolute but also abstract, provoking reactions from the concrete element. This is the inescapable inner tension in the idea of God.</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26"/>
      </w:r>
      <w:r w:rsidRPr="002F7DBB">
        <w:rPr>
          <w:rFonts w:ascii="Times New Roman" w:hAnsi="Times New Roman" w:cs="Times New Roman"/>
          <w:i/>
          <w:iCs/>
          <w:sz w:val="24"/>
          <w:szCs w:val="24"/>
        </w:rPr>
        <w:t>”</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Just like Martin Buber, Tillich also says that every being can participate in the ground of being or being-itself. This is the way for Tillich that God can be known, but as discussed above this can only be described symbolically.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In here I think it is important to state that Paul Tillich was heavily criticised by lacking the importance of practices in religious life in his theology/philosophy. From a similar point of view it may be fair to say that he developed some of his ideas, but did not explore them to a level where they evolved from theories to actual practices and applicable notions. I believe Martin Buber’s dialogical philosophy is more useful in terms of applicability as it gives some personal insight as to how the relational with the ultimate would transform man’s understanding. Of course Tillich’s theology is valuable as it introduces religion and religious life to the domain of those who feel detached from any form of spirituality. As I stated before Tillich’s work is important in the context of this study as it formulates or systematically discusses some concepts.</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lastRenderedPageBreak/>
        <w:t xml:space="preserve">One of the concepts that Paul Tillich argues is the </w:t>
      </w:r>
      <w:r w:rsidRPr="002F7DBB">
        <w:rPr>
          <w:rFonts w:ascii="Times New Roman" w:hAnsi="Times New Roman" w:cs="Times New Roman"/>
          <w:i/>
          <w:iCs/>
          <w:sz w:val="24"/>
          <w:szCs w:val="24"/>
        </w:rPr>
        <w:t>“inescapable inner tension in the idea of God”</w:t>
      </w:r>
      <w:r w:rsidRPr="002F7DBB">
        <w:rPr>
          <w:rFonts w:ascii="Times New Roman" w:hAnsi="Times New Roman" w:cs="Times New Roman"/>
          <w:iCs/>
          <w:sz w:val="24"/>
          <w:szCs w:val="24"/>
        </w:rPr>
        <w:t>. Strangely Tillich sees this “</w:t>
      </w:r>
      <w:r w:rsidRPr="002F7DBB">
        <w:rPr>
          <w:rFonts w:ascii="Times New Roman" w:hAnsi="Times New Roman" w:cs="Times New Roman"/>
          <w:i/>
          <w:iCs/>
          <w:sz w:val="24"/>
          <w:szCs w:val="24"/>
        </w:rPr>
        <w:t>inescapable inner tension in the idea of God”</w:t>
      </w:r>
      <w:r w:rsidRPr="002F7DBB">
        <w:rPr>
          <w:rFonts w:ascii="Times New Roman" w:hAnsi="Times New Roman" w:cs="Times New Roman"/>
          <w:iCs/>
          <w:sz w:val="24"/>
          <w:szCs w:val="24"/>
        </w:rPr>
        <w:t xml:space="preserve"> as a starting point for an examination of the history of religion. I think Tillich instead of developing his ideas further moves away from a very critical and crucial point. If there is such a tension in an idea that man is ultimately concerned about, and if this tension is inescapable as Tillich says, then man should be equipped to deal with this tension. Again as Tillich suggests “</w:t>
      </w:r>
      <w:r w:rsidRPr="002F7DBB">
        <w:rPr>
          <w:rFonts w:ascii="Times New Roman" w:hAnsi="Times New Roman" w:cs="Times New Roman"/>
          <w:i/>
          <w:iCs/>
          <w:sz w:val="24"/>
          <w:szCs w:val="24"/>
        </w:rPr>
        <w:t xml:space="preserve">the psychology of personality” </w:t>
      </w:r>
      <w:r w:rsidRPr="002F7DBB">
        <w:rPr>
          <w:rFonts w:ascii="Times New Roman" w:hAnsi="Times New Roman" w:cs="Times New Roman"/>
          <w:iCs/>
          <w:sz w:val="24"/>
          <w:szCs w:val="24"/>
        </w:rPr>
        <w:t>is “</w:t>
      </w:r>
      <w:r w:rsidRPr="002F7DBB">
        <w:rPr>
          <w:rFonts w:ascii="Times New Roman" w:hAnsi="Times New Roman" w:cs="Times New Roman"/>
          <w:i/>
          <w:iCs/>
          <w:sz w:val="24"/>
          <w:szCs w:val="24"/>
        </w:rPr>
        <w:t>highly dynamic and requires a dynamic theory of faith as the most personal of all personal acts</w:t>
      </w:r>
      <w:r w:rsidRPr="002F7DBB">
        <w:rPr>
          <w:rStyle w:val="FootnoteReference"/>
          <w:rFonts w:ascii="Times New Roman" w:hAnsi="Times New Roman" w:cs="Times New Roman"/>
          <w:sz w:val="24"/>
          <w:szCs w:val="24"/>
        </w:rPr>
        <w:footnoteReference w:id="27"/>
      </w:r>
      <w:r w:rsidRPr="002F7DBB">
        <w:rPr>
          <w:rFonts w:ascii="Times New Roman" w:hAnsi="Times New Roman" w:cs="Times New Roman"/>
          <w:i/>
          <w:iCs/>
          <w:sz w:val="24"/>
          <w:szCs w:val="24"/>
        </w:rPr>
        <w:t>.”</w:t>
      </w:r>
      <w:r w:rsidRPr="002F7DBB">
        <w:rPr>
          <w:rFonts w:ascii="Times New Roman" w:hAnsi="Times New Roman" w:cs="Times New Roman"/>
          <w:iCs/>
          <w:sz w:val="24"/>
          <w:szCs w:val="24"/>
        </w:rPr>
        <w:t xml:space="preserve"> In Tillich’s understanding this dynamic theory of faith is an act of total personality which binds unconsciousness element in personal structure to the conscious and centred act; namely freedom and faith. Similarly I believe this is another point where Tillich becomes controversial as he speaks of a dynamic theory of faith without exploring what makes it dynamic and applicable. By introducing Freud’s ego and superego in his argument he moves further away from introducing a dynamic theory but concludes with a description of the term “</w:t>
      </w:r>
      <w:r w:rsidRPr="002F7DBB">
        <w:rPr>
          <w:rFonts w:ascii="Times New Roman" w:hAnsi="Times New Roman" w:cs="Times New Roman"/>
          <w:i/>
          <w:iCs/>
          <w:sz w:val="24"/>
          <w:szCs w:val="24"/>
        </w:rPr>
        <w:t>psychology of faith</w:t>
      </w:r>
      <w:r w:rsidRPr="002F7DBB">
        <w:rPr>
          <w:rFonts w:ascii="Times New Roman" w:hAnsi="Times New Roman" w:cs="Times New Roman"/>
          <w:iCs/>
          <w:sz w:val="24"/>
          <w:szCs w:val="24"/>
        </w:rPr>
        <w:t>”. Tillich realizes the man’s ability to decide for or against reason and “</w:t>
      </w:r>
      <w:r w:rsidRPr="002F7DBB">
        <w:rPr>
          <w:rFonts w:ascii="Times New Roman" w:hAnsi="Times New Roman" w:cs="Times New Roman"/>
          <w:i/>
          <w:iCs/>
          <w:sz w:val="24"/>
          <w:szCs w:val="24"/>
        </w:rPr>
        <w:t>this is the power of his self, the centre of self-relatedness in which all elements of his being are united</w:t>
      </w:r>
      <w:r w:rsidRPr="002F7DBB">
        <w:rPr>
          <w:rStyle w:val="FootnoteReference"/>
          <w:rFonts w:ascii="Times New Roman" w:hAnsi="Times New Roman" w:cs="Times New Roman"/>
          <w:sz w:val="24"/>
          <w:szCs w:val="24"/>
        </w:rPr>
        <w:footnoteReference w:id="28"/>
      </w:r>
      <w:r w:rsidRPr="002F7DBB">
        <w:rPr>
          <w:rFonts w:ascii="Times New Roman" w:hAnsi="Times New Roman" w:cs="Times New Roman"/>
          <w:iCs/>
          <w:sz w:val="24"/>
          <w:szCs w:val="24"/>
        </w:rPr>
        <w:t>.” This power or centre of self-relatedness is the ground where faith is based. I think Tillich without explaining the fundamentals and essentiality of the self jumps over to a conclusion once again missing the links.</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Most strikingly Tillich tries to justify the Trinitarian structure in Christian monotheism through the “</w:t>
      </w:r>
      <w:r w:rsidRPr="002F7DBB">
        <w:rPr>
          <w:rFonts w:ascii="Times New Roman" w:hAnsi="Times New Roman" w:cs="Times New Roman"/>
          <w:i/>
          <w:iCs/>
          <w:sz w:val="24"/>
          <w:szCs w:val="24"/>
        </w:rPr>
        <w:t>inescapable inner tension in the idea of God”</w:t>
      </w:r>
      <w:r w:rsidRPr="002F7DBB">
        <w:rPr>
          <w:rFonts w:ascii="Times New Roman" w:hAnsi="Times New Roman" w:cs="Times New Roman"/>
          <w:iCs/>
          <w:sz w:val="24"/>
          <w:szCs w:val="24"/>
        </w:rPr>
        <w:t>. This time he calls this tension the “</w:t>
      </w:r>
      <w:r w:rsidRPr="002F7DBB">
        <w:rPr>
          <w:rFonts w:ascii="Times New Roman" w:hAnsi="Times New Roman" w:cs="Times New Roman"/>
          <w:i/>
          <w:iCs/>
          <w:sz w:val="24"/>
          <w:szCs w:val="24"/>
        </w:rPr>
        <w:t>need for a balance between the concrete and the absolute”</w:t>
      </w:r>
      <w:r w:rsidRPr="002F7DBB">
        <w:rPr>
          <w:rFonts w:ascii="Times New Roman" w:hAnsi="Times New Roman" w:cs="Times New Roman"/>
          <w:iCs/>
          <w:sz w:val="24"/>
          <w:szCs w:val="24"/>
        </w:rPr>
        <w:t>. According to Tillich “</w:t>
      </w:r>
      <w:r w:rsidRPr="002F7DBB">
        <w:rPr>
          <w:rFonts w:ascii="Times New Roman" w:hAnsi="Times New Roman" w:cs="Times New Roman"/>
          <w:i/>
          <w:iCs/>
          <w:sz w:val="24"/>
          <w:szCs w:val="24"/>
        </w:rPr>
        <w:t>the concreteness of man’s ultimate concern drives him toward polytheistic structures; the reaction of the absolute element against these drives him toward monotheistic structures; and the need for a balance between the concrete and the absolute drives him toward Trinitarian structure</w:t>
      </w:r>
      <w:r w:rsidRPr="002F7DBB">
        <w:rPr>
          <w:rStyle w:val="FootnoteReference"/>
          <w:rFonts w:ascii="Times New Roman" w:hAnsi="Times New Roman" w:cs="Times New Roman"/>
          <w:sz w:val="24"/>
          <w:szCs w:val="24"/>
        </w:rPr>
        <w:footnoteReference w:id="29"/>
      </w:r>
      <w:r w:rsidRPr="002F7DBB">
        <w:rPr>
          <w:rFonts w:ascii="Times New Roman" w:hAnsi="Times New Roman" w:cs="Times New Roman"/>
          <w:i/>
          <w:iCs/>
          <w:sz w:val="24"/>
          <w:szCs w:val="24"/>
        </w:rPr>
        <w:t>.”</w:t>
      </w:r>
      <w:r w:rsidRPr="002F7DBB">
        <w:rPr>
          <w:rFonts w:ascii="Times New Roman" w:hAnsi="Times New Roman" w:cs="Times New Roman"/>
          <w:iCs/>
          <w:sz w:val="24"/>
          <w:szCs w:val="24"/>
        </w:rPr>
        <w:t xml:space="preserve"> The degree of reductionism should be heavily criticised in Tillich’s theory as it conflicts with itself. If the concreteness of the ultimate concern is driving man towards a polytheistic structure than what is the element that is adjusting the balance between the concreteness and the absoluteness to a Trinitarian structure rather than something else? Tillich rightly says that “</w:t>
      </w:r>
      <w:r w:rsidRPr="002F7DBB">
        <w:rPr>
          <w:rFonts w:ascii="Times New Roman" w:hAnsi="Times New Roman" w:cs="Times New Roman"/>
          <w:i/>
          <w:iCs/>
          <w:sz w:val="24"/>
          <w:szCs w:val="24"/>
        </w:rPr>
        <w:t>Trinitarian monotheism is not a matter of the number three.</w:t>
      </w:r>
      <w:r w:rsidRPr="002F7DBB">
        <w:rPr>
          <w:rFonts w:ascii="Times New Roman" w:hAnsi="Times New Roman" w:cs="Times New Roman"/>
          <w:iCs/>
          <w:sz w:val="24"/>
          <w:szCs w:val="24"/>
        </w:rPr>
        <w:t xml:space="preserve">” But again concludes with the statement that </w:t>
      </w:r>
      <w:r w:rsidRPr="002F7DBB">
        <w:rPr>
          <w:rFonts w:ascii="Times New Roman" w:hAnsi="Times New Roman" w:cs="Times New Roman"/>
          <w:i/>
          <w:iCs/>
          <w:sz w:val="24"/>
          <w:szCs w:val="24"/>
        </w:rPr>
        <w:t>“Trinitarian monotheism is concrete monotheism...</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lastRenderedPageBreak/>
        <w:footnoteReference w:id="30"/>
      </w:r>
      <w:r w:rsidRPr="002F7DBB">
        <w:rPr>
          <w:rFonts w:ascii="Times New Roman" w:hAnsi="Times New Roman" w:cs="Times New Roman"/>
          <w:iCs/>
          <w:sz w:val="24"/>
          <w:szCs w:val="24"/>
        </w:rPr>
        <w:t xml:space="preserve">” If just like Tillich argues Trinitarian structure is a qualitative rather than quantitative characteristic of God and if God is the ground of being, being-itself, then the attributes should be infinite rather than three. The realization of God’s attributes in every creation, in every possible, potential and actual is the understanding of Islamic scholars. A similar approach can also be seen in Martin Buber’s theology/philosophy. I think it is fair to suggest that Tillich jumps to a wrong conclusion with the right set of reasons. The main reason for this may be the influence of his Christian background, or his wish to justify his mind set. </w:t>
      </w:r>
    </w:p>
    <w:p w:rsidR="00773CD7" w:rsidRPr="002F7DBB" w:rsidRDefault="00773CD7" w:rsidP="00773CD7">
      <w:pPr>
        <w:spacing w:line="360" w:lineRule="auto"/>
        <w:jc w:val="both"/>
        <w:rPr>
          <w:rFonts w:ascii="Times New Roman" w:hAnsi="Times New Roman" w:cs="Times New Roman"/>
          <w:iCs/>
          <w:sz w:val="24"/>
          <w:szCs w:val="24"/>
        </w:rPr>
      </w:pPr>
      <w:r w:rsidRPr="002F7DBB">
        <w:rPr>
          <w:rFonts w:ascii="Times New Roman" w:hAnsi="Times New Roman" w:cs="Times New Roman"/>
          <w:iCs/>
          <w:sz w:val="24"/>
          <w:szCs w:val="24"/>
        </w:rPr>
        <w:t xml:space="preserve">One other concept that we should look into in more detail is his ideas about potential infinity being present in actual finitude. For Tillich the tool to explore this potential infinity in actual finitude is the symbols and affirmation of these symbols requires a </w:t>
      </w:r>
      <w:proofErr w:type="spellStart"/>
      <w:r w:rsidRPr="002F7DBB">
        <w:rPr>
          <w:rFonts w:ascii="Times New Roman" w:hAnsi="Times New Roman" w:cs="Times New Roman"/>
          <w:iCs/>
          <w:sz w:val="24"/>
          <w:szCs w:val="24"/>
        </w:rPr>
        <w:t>Kierkegaardian</w:t>
      </w:r>
      <w:proofErr w:type="spellEnd"/>
      <w:r w:rsidRPr="002F7DBB">
        <w:rPr>
          <w:rFonts w:ascii="Times New Roman" w:hAnsi="Times New Roman" w:cs="Times New Roman"/>
          <w:iCs/>
          <w:sz w:val="24"/>
          <w:szCs w:val="24"/>
        </w:rPr>
        <w:t xml:space="preserve"> leap of faith</w:t>
      </w:r>
      <w:r w:rsidRPr="002F7DBB">
        <w:rPr>
          <w:rStyle w:val="FootnoteReference"/>
          <w:rFonts w:ascii="Times New Roman" w:hAnsi="Times New Roman" w:cs="Times New Roman"/>
          <w:sz w:val="24"/>
          <w:szCs w:val="24"/>
        </w:rPr>
        <w:footnoteReference w:id="31"/>
      </w:r>
      <w:r w:rsidRPr="002F7DBB">
        <w:rPr>
          <w:rFonts w:ascii="Times New Roman" w:hAnsi="Times New Roman" w:cs="Times New Roman"/>
          <w:iCs/>
          <w:sz w:val="24"/>
          <w:szCs w:val="24"/>
        </w:rPr>
        <w:t xml:space="preserve">. I think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Nursi’s</w:t>
      </w:r>
      <w:proofErr w:type="spellEnd"/>
      <w:r w:rsidRPr="002F7DBB">
        <w:rPr>
          <w:rFonts w:ascii="Times New Roman" w:hAnsi="Times New Roman" w:cs="Times New Roman"/>
          <w:iCs/>
          <w:sz w:val="24"/>
          <w:szCs w:val="24"/>
        </w:rPr>
        <w:t xml:space="preserve"> way of realizing this potential infinity is a lot more practical and reasonable. His thoughts are going to be discussed in detail in conjunction with Martin Buber’s and Tillich’s theories. </w:t>
      </w:r>
    </w:p>
    <w:p w:rsidR="00773CD7" w:rsidRPr="002F7DBB" w:rsidRDefault="00773CD7" w:rsidP="00773CD7">
      <w:pPr>
        <w:pStyle w:val="Title"/>
        <w:rPr>
          <w:rFonts w:ascii="Times New Roman" w:hAnsi="Times New Roman" w:cs="Times New Roman"/>
          <w:sz w:val="24"/>
          <w:szCs w:val="24"/>
        </w:rPr>
      </w:pP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p>
    <w:p w:rsidR="00773CD7" w:rsidRPr="002F7DBB" w:rsidRDefault="00773CD7" w:rsidP="00773CD7">
      <w:pPr>
        <w:spacing w:line="360" w:lineRule="auto"/>
        <w:jc w:val="both"/>
        <w:rPr>
          <w:rFonts w:ascii="Times New Roman" w:hAnsi="Times New Roman" w:cs="Times New Roman"/>
          <w:color w:val="FF0000"/>
          <w:sz w:val="24"/>
          <w:szCs w:val="24"/>
        </w:rPr>
      </w:pPr>
      <w:proofErr w:type="spellStart"/>
      <w:r w:rsidRPr="002F7DBB">
        <w:rPr>
          <w:rFonts w:ascii="Times New Roman" w:hAnsi="Times New Roman" w:cs="Times New Roman"/>
          <w:iCs/>
          <w:sz w:val="24"/>
          <w:szCs w:val="24"/>
          <w:lang w:val="en-US"/>
        </w:rPr>
        <w:t>Bediuzzam</w:t>
      </w:r>
      <w:proofErr w:type="spellEnd"/>
      <w:r w:rsidRPr="002F7DBB">
        <w:rPr>
          <w:rFonts w:ascii="Times New Roman" w:hAnsi="Times New Roman" w:cs="Times New Roman"/>
          <w:iCs/>
          <w:sz w:val="24"/>
          <w:szCs w:val="24"/>
          <w:lang w:val="en-US"/>
        </w:rPr>
        <w:t xml:space="preserve"> Said </w:t>
      </w:r>
      <w:proofErr w:type="spellStart"/>
      <w:r w:rsidRPr="002F7DBB">
        <w:rPr>
          <w:rFonts w:ascii="Times New Roman" w:hAnsi="Times New Roman" w:cs="Times New Roman"/>
          <w:iCs/>
          <w:sz w:val="24"/>
          <w:szCs w:val="24"/>
          <w:lang w:val="en-US"/>
        </w:rPr>
        <w:t>Nursi</w:t>
      </w:r>
      <w:proofErr w:type="spellEnd"/>
      <w:r w:rsidRPr="002F7DBB">
        <w:rPr>
          <w:rFonts w:ascii="Times New Roman" w:hAnsi="Times New Roman" w:cs="Times New Roman"/>
          <w:iCs/>
          <w:sz w:val="24"/>
          <w:szCs w:val="24"/>
          <w:lang w:val="en-US"/>
        </w:rPr>
        <w:t xml:space="preserve"> saw the last days of the Ottoman Empire, its collapse after the First World War and the emergence of Turkish Republic. </w:t>
      </w:r>
      <w:r w:rsidRPr="002F7DBB">
        <w:rPr>
          <w:rFonts w:ascii="Times New Roman" w:hAnsi="Times New Roman" w:cs="Times New Roman"/>
          <w:sz w:val="24"/>
          <w:szCs w:val="24"/>
        </w:rPr>
        <w:t xml:space="preserve">In such turbulent times there was a great influence of western philosophical ideas and positive sciences on the intellectual course of the Muslims which led to some anti-Islamic trends of thought and practices. </w:t>
      </w:r>
      <w:r w:rsidRPr="002F7DBB">
        <w:rPr>
          <w:rFonts w:ascii="Times New Roman" w:hAnsi="Times New Roman" w:cs="Times New Roman"/>
          <w:iCs/>
          <w:sz w:val="24"/>
          <w:szCs w:val="24"/>
          <w:lang w:val="en-US"/>
        </w:rPr>
        <w:t xml:space="preserve">Also the incompatibility phenomenon of reason and revelation was inherited from the west. </w:t>
      </w:r>
      <w:r w:rsidRPr="002F7DBB">
        <w:rPr>
          <w:rFonts w:ascii="Times New Roman" w:hAnsi="Times New Roman" w:cs="Times New Roman"/>
          <w:sz w:val="24"/>
          <w:szCs w:val="24"/>
        </w:rPr>
        <w:t xml:space="preserve">A cultural invasion was also taking place, religious practices and understandings were being customized just like Christianity has been customized to a degree in the west. </w:t>
      </w:r>
      <w:r w:rsidRPr="002F7DBB">
        <w:rPr>
          <w:rFonts w:ascii="Times New Roman" w:hAnsi="Times New Roman" w:cs="Times New Roman"/>
          <w:iCs/>
          <w:sz w:val="24"/>
          <w:szCs w:val="24"/>
          <w:lang w:val="en-US"/>
        </w:rPr>
        <w:t xml:space="preserve">It was a time when </w:t>
      </w:r>
      <w:r w:rsidRPr="002F7DBB">
        <w:rPr>
          <w:rFonts w:ascii="Times New Roman" w:hAnsi="Times New Roman" w:cs="Times New Roman"/>
          <w:sz w:val="24"/>
          <w:szCs w:val="24"/>
        </w:rPr>
        <w:t xml:space="preserve">Muslims were experiencing a global crisis. According to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some Muslim intellectuals at that time and people were being alienated from Qur’an and traditions of Islam. With the emergence of rationalism he wanted to develop grounds for </w:t>
      </w:r>
      <w:proofErr w:type="spellStart"/>
      <w:r w:rsidRPr="002F7DBB">
        <w:rPr>
          <w:rFonts w:ascii="Times New Roman" w:hAnsi="Times New Roman" w:cs="Times New Roman"/>
          <w:sz w:val="24"/>
          <w:szCs w:val="24"/>
        </w:rPr>
        <w:t>Iman</w:t>
      </w:r>
      <w:proofErr w:type="spellEnd"/>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describes </w:t>
      </w:r>
      <w:r w:rsidRPr="002F7DBB">
        <w:rPr>
          <w:rFonts w:ascii="Times New Roman" w:hAnsi="Times New Roman" w:cs="Times New Roman"/>
          <w:i/>
          <w:sz w:val="24"/>
          <w:szCs w:val="24"/>
        </w:rPr>
        <w:t>the basis and aim</w:t>
      </w:r>
      <w:r w:rsidRPr="002F7DBB">
        <w:rPr>
          <w:rFonts w:ascii="Times New Roman" w:hAnsi="Times New Roman" w:cs="Times New Roman"/>
          <w:sz w:val="24"/>
          <w:szCs w:val="24"/>
        </w:rPr>
        <w:t xml:space="preserve"> of his collection of books; </w:t>
      </w:r>
      <w:proofErr w:type="spellStart"/>
      <w:r w:rsidRPr="002F7DBB">
        <w:rPr>
          <w:rFonts w:ascii="Times New Roman" w:hAnsi="Times New Roman" w:cs="Times New Roman"/>
          <w:sz w:val="24"/>
          <w:szCs w:val="24"/>
        </w:rPr>
        <w:t>Risale-i</w:t>
      </w:r>
      <w:proofErr w:type="spellEnd"/>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Nur</w:t>
      </w:r>
      <w:proofErr w:type="spellEnd"/>
      <w:r w:rsidRPr="002F7DBB">
        <w:rPr>
          <w:rFonts w:ascii="Times New Roman" w:hAnsi="Times New Roman" w:cs="Times New Roman"/>
          <w:sz w:val="24"/>
          <w:szCs w:val="24"/>
        </w:rPr>
        <w:t xml:space="preserve"> as </w:t>
      </w:r>
      <w:r w:rsidRPr="002F7DBB">
        <w:rPr>
          <w:rFonts w:ascii="Times New Roman" w:hAnsi="Times New Roman" w:cs="Times New Roman"/>
          <w:i/>
          <w:sz w:val="24"/>
          <w:szCs w:val="24"/>
        </w:rPr>
        <w:t>“…certain belief and the essential reality of the Qur’an.”</w:t>
      </w:r>
      <w:r w:rsidRPr="002F7DBB">
        <w:rPr>
          <w:rFonts w:ascii="Times New Roman" w:hAnsi="Times New Roman" w:cs="Times New Roman"/>
          <w:sz w:val="24"/>
          <w:szCs w:val="24"/>
        </w:rPr>
        <w:t xml:space="preserve">  </w:t>
      </w:r>
      <w:r w:rsidRPr="002F7DBB">
        <w:rPr>
          <w:rFonts w:ascii="Times New Roman" w:hAnsi="Times New Roman" w:cs="Times New Roman"/>
          <w:color w:val="FF0000"/>
          <w:sz w:val="24"/>
          <w:szCs w:val="24"/>
        </w:rPr>
        <w:t>(</w:t>
      </w:r>
      <w:proofErr w:type="spellStart"/>
      <w:r w:rsidRPr="002F7DBB">
        <w:rPr>
          <w:rFonts w:ascii="Times New Roman" w:hAnsi="Times New Roman" w:cs="Times New Roman"/>
          <w:color w:val="FF0000"/>
          <w:sz w:val="24"/>
          <w:szCs w:val="24"/>
        </w:rPr>
        <w:t>Sualar</w:t>
      </w:r>
      <w:proofErr w:type="spellEnd"/>
      <w:r w:rsidRPr="002F7DBB">
        <w:rPr>
          <w:rFonts w:ascii="Times New Roman" w:hAnsi="Times New Roman" w:cs="Times New Roman"/>
          <w:color w:val="FF0000"/>
          <w:sz w:val="24"/>
          <w:szCs w:val="24"/>
        </w:rPr>
        <w:t xml:space="preserve"> 313)</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One important distinction that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also has is he was not only a theologian, a scholar but also an exemplar. In his personal life he lived and presented every notion that he stood for. He lived a life of exile and solitude but never gave up his service to Qur’an and belief. </w:t>
      </w:r>
    </w:p>
    <w:p w:rsidR="00773CD7" w:rsidRPr="002F7DBB" w:rsidRDefault="00773CD7" w:rsidP="00773CD7">
      <w:pPr>
        <w:spacing w:line="360" w:lineRule="auto"/>
        <w:jc w:val="both"/>
        <w:rPr>
          <w:rFonts w:ascii="Times New Roman" w:hAnsi="Times New Roman" w:cs="Times New Roman"/>
          <w:sz w:val="24"/>
          <w:szCs w:val="24"/>
        </w:rPr>
      </w:pPr>
      <w:proofErr w:type="spellStart"/>
      <w:r w:rsidRPr="002F7DBB">
        <w:rPr>
          <w:rFonts w:ascii="Times New Roman" w:hAnsi="Times New Roman" w:cs="Times New Roman"/>
          <w:sz w:val="24"/>
          <w:szCs w:val="24"/>
        </w:rPr>
        <w:lastRenderedPageBreak/>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describes one of the key elements in </w:t>
      </w:r>
      <w:proofErr w:type="spellStart"/>
      <w:r w:rsidRPr="002F7DBB">
        <w:rPr>
          <w:rFonts w:ascii="Times New Roman" w:hAnsi="Times New Roman" w:cs="Times New Roman"/>
          <w:sz w:val="24"/>
          <w:szCs w:val="24"/>
        </w:rPr>
        <w:t>Risale-i</w:t>
      </w:r>
      <w:proofErr w:type="spellEnd"/>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Nur</w:t>
      </w:r>
      <w:proofErr w:type="spellEnd"/>
      <w:r w:rsidRPr="002F7DBB">
        <w:rPr>
          <w:rFonts w:ascii="Times New Roman" w:hAnsi="Times New Roman" w:cs="Times New Roman"/>
          <w:sz w:val="24"/>
          <w:szCs w:val="24"/>
        </w:rPr>
        <w:t xml:space="preserve"> as its discussions and proofs of that there is a heaven in this world for the people of faith and there is a hell in this world for the people of disbelief. Psychological tranquillity and awareness may be some dynamics of heaven in this earth. So for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the discussion about self, self interpretation and self affirmation is closely related with </w:t>
      </w:r>
      <w:proofErr w:type="spellStart"/>
      <w:r w:rsidRPr="002F7DBB">
        <w:rPr>
          <w:rFonts w:ascii="Times New Roman" w:hAnsi="Times New Roman" w:cs="Times New Roman"/>
          <w:sz w:val="24"/>
          <w:szCs w:val="24"/>
        </w:rPr>
        <w:t>iman</w:t>
      </w:r>
      <w:proofErr w:type="spellEnd"/>
      <w:r w:rsidRPr="002F7DBB">
        <w:rPr>
          <w:rFonts w:ascii="Times New Roman" w:hAnsi="Times New Roman" w:cs="Times New Roman"/>
          <w:sz w:val="24"/>
          <w:szCs w:val="24"/>
        </w:rPr>
        <w:t xml:space="preserve"> and the concept of God. The interpretation of these concepts by a believer and non believer would be completely different. I think it is important to start from this point if self in </w:t>
      </w:r>
      <w:proofErr w:type="spellStart"/>
      <w:r w:rsidRPr="002F7DBB">
        <w:rPr>
          <w:rFonts w:ascii="Times New Roman" w:hAnsi="Times New Roman" w:cs="Times New Roman"/>
          <w:sz w:val="24"/>
          <w:szCs w:val="24"/>
        </w:rPr>
        <w:t>Risale-i</w:t>
      </w:r>
      <w:proofErr w:type="spellEnd"/>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Nur</w:t>
      </w:r>
      <w:proofErr w:type="spellEnd"/>
      <w:r w:rsidRPr="002F7DBB">
        <w:rPr>
          <w:rFonts w:ascii="Times New Roman" w:hAnsi="Times New Roman" w:cs="Times New Roman"/>
          <w:sz w:val="24"/>
          <w:szCs w:val="24"/>
        </w:rPr>
        <w:t xml:space="preserve"> is going to be studied. </w:t>
      </w:r>
    </w:p>
    <w:p w:rsidR="00773CD7" w:rsidRPr="002F7DBB" w:rsidRDefault="00773CD7" w:rsidP="00773CD7">
      <w:pPr>
        <w:pStyle w:val="Title"/>
        <w:rPr>
          <w:rFonts w:ascii="Times New Roman" w:hAnsi="Times New Roman" w:cs="Times New Roman"/>
          <w:sz w:val="24"/>
          <w:szCs w:val="24"/>
        </w:rPr>
      </w:pP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Nursi’s</w:t>
      </w:r>
      <w:proofErr w:type="spellEnd"/>
      <w:r w:rsidRPr="002F7DBB">
        <w:rPr>
          <w:rFonts w:ascii="Times New Roman" w:hAnsi="Times New Roman" w:cs="Times New Roman"/>
          <w:sz w:val="24"/>
          <w:szCs w:val="24"/>
        </w:rPr>
        <w:t xml:space="preserve"> View on Atheistic Existentialism</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The existential approach which was being popular in the west was something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conceptually discussed in his writings.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realizes the problematic associated with non belief. This drives him to explore the psychology of atheism or atheistic existentialism at that time. One of the key concepts in atheistic existentialism is how can an individual keep on living looking at the face of death and nothingness. The anxiety and the dilemma are so real and challenging.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describes the psychology of such an individual in </w:t>
      </w:r>
      <w:r w:rsidRPr="002F7DBB">
        <w:rPr>
          <w:rFonts w:ascii="Times New Roman" w:hAnsi="Times New Roman" w:cs="Times New Roman"/>
          <w:color w:val="FF0000"/>
          <w:sz w:val="24"/>
          <w:szCs w:val="24"/>
        </w:rPr>
        <w:t>The Rays Collection p 641, 642.</w:t>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i/>
          <w:color w:val="365F91" w:themeColor="accent1" w:themeShade="BF"/>
          <w:sz w:val="24"/>
          <w:szCs w:val="24"/>
        </w:rPr>
      </w:pPr>
      <w:r w:rsidRPr="002F7DBB">
        <w:rPr>
          <w:rFonts w:ascii="Times New Roman" w:hAnsi="Times New Roman" w:cs="Times New Roman"/>
          <w:i/>
          <w:color w:val="365F91" w:themeColor="accent1" w:themeShade="BF"/>
          <w:sz w:val="24"/>
          <w:szCs w:val="24"/>
        </w:rPr>
        <w:t>“Then the world of humanity appeared to me as though on a cinema screen. I looked through the telescope of the people of misguidance and saw that world to be so dark and terrifying that I cried out from the depths of my heart. “Alas!” I cried. For they had desires and hopes that stretched to eternity, thoughts and imaginings that embraced the universe, the earnest desire for everlasting happiness and paradise, an innate capacity and powers on which no limit had been placed and which were free, yet despite their innumerable needs and their weakness, and impotence they were exposed to the attacks of innumerable enemies and the blows of innumerable calamities. Under the perpetual threat of death, they lived out their brief and tumultuous lives in wretched circumstances. Ever looking to the grave, which for the misguided is the door to everlasting darkness, they suffered the continuous blows of death and separation, the most painful state for the heart and conscience. I saw that singly and in groups they were being thrown into that black well.”</w:t>
      </w:r>
    </w:p>
    <w:p w:rsidR="00773CD7" w:rsidRPr="002F7DBB" w:rsidRDefault="00773CD7" w:rsidP="00773CD7">
      <w:pPr>
        <w:spacing w:line="360" w:lineRule="auto"/>
        <w:jc w:val="both"/>
        <w:rPr>
          <w:rFonts w:ascii="Times New Roman" w:hAnsi="Times New Roman" w:cs="Times New Roman"/>
          <w:sz w:val="24"/>
          <w:szCs w:val="24"/>
        </w:rPr>
      </w:pP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highlights some key elements in the understanding and world view of the people of misguidance. He describes the world from their point of view as </w:t>
      </w:r>
      <w:r w:rsidRPr="002F7DBB">
        <w:rPr>
          <w:rFonts w:ascii="Times New Roman" w:hAnsi="Times New Roman" w:cs="Times New Roman"/>
          <w:i/>
          <w:sz w:val="24"/>
          <w:szCs w:val="24"/>
        </w:rPr>
        <w:t>dark</w:t>
      </w:r>
      <w:r w:rsidRPr="002F7DBB">
        <w:rPr>
          <w:rFonts w:ascii="Times New Roman" w:hAnsi="Times New Roman" w:cs="Times New Roman"/>
          <w:sz w:val="24"/>
          <w:szCs w:val="24"/>
        </w:rPr>
        <w:t xml:space="preserve"> and </w:t>
      </w:r>
      <w:r w:rsidRPr="002F7DBB">
        <w:rPr>
          <w:rFonts w:ascii="Times New Roman" w:hAnsi="Times New Roman" w:cs="Times New Roman"/>
          <w:i/>
          <w:sz w:val="24"/>
          <w:szCs w:val="24"/>
        </w:rPr>
        <w:t>terrifying</w:t>
      </w:r>
      <w:r w:rsidRPr="002F7DBB">
        <w:rPr>
          <w:rFonts w:ascii="Times New Roman" w:hAnsi="Times New Roman" w:cs="Times New Roman"/>
          <w:sz w:val="24"/>
          <w:szCs w:val="24"/>
        </w:rPr>
        <w:t xml:space="preserve">. One reason for this </w:t>
      </w:r>
      <w:r w:rsidRPr="002F7DBB">
        <w:rPr>
          <w:rFonts w:ascii="Times New Roman" w:hAnsi="Times New Roman" w:cs="Times New Roman"/>
          <w:i/>
          <w:sz w:val="24"/>
          <w:szCs w:val="24"/>
        </w:rPr>
        <w:t>dark</w:t>
      </w:r>
      <w:r w:rsidRPr="002F7DBB">
        <w:rPr>
          <w:rFonts w:ascii="Times New Roman" w:hAnsi="Times New Roman" w:cs="Times New Roman"/>
          <w:sz w:val="24"/>
          <w:szCs w:val="24"/>
        </w:rPr>
        <w:t xml:space="preserve"> and </w:t>
      </w:r>
      <w:r w:rsidRPr="002F7DBB">
        <w:rPr>
          <w:rFonts w:ascii="Times New Roman" w:hAnsi="Times New Roman" w:cs="Times New Roman"/>
          <w:i/>
          <w:sz w:val="24"/>
          <w:szCs w:val="24"/>
        </w:rPr>
        <w:t>terrifying</w:t>
      </w:r>
      <w:r w:rsidRPr="002F7DBB">
        <w:rPr>
          <w:rFonts w:ascii="Times New Roman" w:hAnsi="Times New Roman" w:cs="Times New Roman"/>
          <w:sz w:val="24"/>
          <w:szCs w:val="24"/>
        </w:rPr>
        <w:t xml:space="preserve"> scene is the unfulfilled </w:t>
      </w:r>
      <w:r w:rsidRPr="002F7DBB">
        <w:rPr>
          <w:rFonts w:ascii="Times New Roman" w:hAnsi="Times New Roman" w:cs="Times New Roman"/>
          <w:i/>
          <w:sz w:val="24"/>
          <w:szCs w:val="24"/>
        </w:rPr>
        <w:t>desires</w:t>
      </w:r>
      <w:r w:rsidRPr="002F7DBB">
        <w:rPr>
          <w:rFonts w:ascii="Times New Roman" w:hAnsi="Times New Roman" w:cs="Times New Roman"/>
          <w:sz w:val="24"/>
          <w:szCs w:val="24"/>
        </w:rPr>
        <w:t xml:space="preserve">, </w:t>
      </w:r>
      <w:r w:rsidRPr="002F7DBB">
        <w:rPr>
          <w:rFonts w:ascii="Times New Roman" w:hAnsi="Times New Roman" w:cs="Times New Roman"/>
          <w:i/>
          <w:sz w:val="24"/>
          <w:szCs w:val="24"/>
        </w:rPr>
        <w:t>capacity</w:t>
      </w:r>
      <w:r w:rsidRPr="002F7DBB">
        <w:rPr>
          <w:rFonts w:ascii="Times New Roman" w:hAnsi="Times New Roman" w:cs="Times New Roman"/>
          <w:sz w:val="24"/>
          <w:szCs w:val="24"/>
        </w:rPr>
        <w:t xml:space="preserve"> </w:t>
      </w:r>
      <w:r w:rsidRPr="002F7DBB">
        <w:rPr>
          <w:rFonts w:ascii="Times New Roman" w:hAnsi="Times New Roman" w:cs="Times New Roman"/>
          <w:sz w:val="24"/>
          <w:szCs w:val="24"/>
        </w:rPr>
        <w:lastRenderedPageBreak/>
        <w:t xml:space="preserve">and </w:t>
      </w:r>
      <w:r w:rsidRPr="002F7DBB">
        <w:rPr>
          <w:rFonts w:ascii="Times New Roman" w:hAnsi="Times New Roman" w:cs="Times New Roman"/>
          <w:i/>
          <w:sz w:val="24"/>
          <w:szCs w:val="24"/>
        </w:rPr>
        <w:t>powers on which no limit had been placed</w:t>
      </w:r>
      <w:r w:rsidRPr="002F7DBB">
        <w:rPr>
          <w:rFonts w:ascii="Times New Roman" w:hAnsi="Times New Roman" w:cs="Times New Roman"/>
          <w:sz w:val="24"/>
          <w:szCs w:val="24"/>
        </w:rPr>
        <w:t xml:space="preserve">. These can only be fulfilled through an </w:t>
      </w:r>
      <w:r w:rsidRPr="002F7DBB">
        <w:rPr>
          <w:rFonts w:ascii="Times New Roman" w:hAnsi="Times New Roman" w:cs="Times New Roman"/>
          <w:i/>
          <w:sz w:val="24"/>
          <w:szCs w:val="24"/>
        </w:rPr>
        <w:t>everlasting happiness</w:t>
      </w:r>
      <w:r w:rsidRPr="002F7DBB">
        <w:rPr>
          <w:rFonts w:ascii="Times New Roman" w:hAnsi="Times New Roman" w:cs="Times New Roman"/>
          <w:sz w:val="24"/>
          <w:szCs w:val="24"/>
        </w:rPr>
        <w:t xml:space="preserve"> and </w:t>
      </w:r>
      <w:r w:rsidRPr="002F7DBB">
        <w:rPr>
          <w:rFonts w:ascii="Times New Roman" w:hAnsi="Times New Roman" w:cs="Times New Roman"/>
          <w:i/>
          <w:sz w:val="24"/>
          <w:szCs w:val="24"/>
        </w:rPr>
        <w:t>paradise</w:t>
      </w:r>
      <w:r w:rsidRPr="002F7DBB">
        <w:rPr>
          <w:rFonts w:ascii="Times New Roman" w:hAnsi="Times New Roman" w:cs="Times New Roman"/>
          <w:sz w:val="24"/>
          <w:szCs w:val="24"/>
        </w:rPr>
        <w:t xml:space="preserve"> however all man has is an inadequate finitude which drives him through </w:t>
      </w:r>
      <w:r w:rsidRPr="002F7DBB">
        <w:rPr>
          <w:rFonts w:ascii="Times New Roman" w:hAnsi="Times New Roman" w:cs="Times New Roman"/>
          <w:i/>
          <w:sz w:val="24"/>
          <w:szCs w:val="24"/>
        </w:rPr>
        <w:t>death</w:t>
      </w:r>
      <w:r w:rsidRPr="002F7DBB">
        <w:rPr>
          <w:rFonts w:ascii="Times New Roman" w:hAnsi="Times New Roman" w:cs="Times New Roman"/>
          <w:sz w:val="24"/>
          <w:szCs w:val="24"/>
        </w:rPr>
        <w:t xml:space="preserve">, </w:t>
      </w:r>
      <w:r w:rsidRPr="002F7DBB">
        <w:rPr>
          <w:rFonts w:ascii="Times New Roman" w:hAnsi="Times New Roman" w:cs="Times New Roman"/>
          <w:i/>
          <w:sz w:val="24"/>
          <w:szCs w:val="24"/>
        </w:rPr>
        <w:t>separation</w:t>
      </w:r>
      <w:r w:rsidRPr="002F7DBB">
        <w:rPr>
          <w:rFonts w:ascii="Times New Roman" w:hAnsi="Times New Roman" w:cs="Times New Roman"/>
          <w:sz w:val="24"/>
          <w:szCs w:val="24"/>
        </w:rPr>
        <w:t xml:space="preserve"> and </w:t>
      </w:r>
      <w:r w:rsidRPr="002F7DBB">
        <w:rPr>
          <w:rFonts w:ascii="Times New Roman" w:hAnsi="Times New Roman" w:cs="Times New Roman"/>
          <w:i/>
          <w:sz w:val="24"/>
          <w:szCs w:val="24"/>
        </w:rPr>
        <w:t>everlasting darkness</w:t>
      </w:r>
      <w:r w:rsidRPr="002F7DBB">
        <w:rPr>
          <w:rFonts w:ascii="Times New Roman" w:hAnsi="Times New Roman" w:cs="Times New Roman"/>
          <w:sz w:val="24"/>
          <w:szCs w:val="24"/>
        </w:rPr>
        <w:t xml:space="preserve"> or nonexistence. The manifestation of potential infinity in actual finitude seems to be one of the sources from which this dark and terrifying scene stems. Such an individual’s evaluation of his/her self and the world would be quite different from that of an individual with </w:t>
      </w:r>
      <w:proofErr w:type="spellStart"/>
      <w:r w:rsidRPr="002F7DBB">
        <w:rPr>
          <w:rFonts w:ascii="Times New Roman" w:hAnsi="Times New Roman" w:cs="Times New Roman"/>
          <w:sz w:val="24"/>
          <w:szCs w:val="24"/>
        </w:rPr>
        <w:t>iman</w:t>
      </w:r>
      <w:proofErr w:type="spellEnd"/>
      <w:r w:rsidRPr="002F7DBB">
        <w:rPr>
          <w:rFonts w:ascii="Times New Roman" w:hAnsi="Times New Roman" w:cs="Times New Roman"/>
          <w:sz w:val="24"/>
          <w:szCs w:val="24"/>
        </w:rPr>
        <w:t xml:space="preserve">. According to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affirmation of Divine Unity is a cure through which spiritual pleasure may be found. He says; </w:t>
      </w:r>
      <w:r w:rsidRPr="002F7DBB">
        <w:rPr>
          <w:rFonts w:ascii="Times New Roman" w:hAnsi="Times New Roman" w:cs="Times New Roman"/>
          <w:color w:val="FF0000"/>
          <w:sz w:val="24"/>
          <w:szCs w:val="24"/>
        </w:rPr>
        <w:t>(Letters 265-266)</w:t>
      </w:r>
    </w:p>
    <w:p w:rsidR="00773CD7" w:rsidRPr="002F7DBB" w:rsidRDefault="00773CD7" w:rsidP="00773CD7">
      <w:pPr>
        <w:spacing w:line="360" w:lineRule="auto"/>
        <w:jc w:val="both"/>
        <w:rPr>
          <w:rFonts w:ascii="Times New Roman" w:hAnsi="Times New Roman" w:cs="Times New Roman"/>
          <w:i/>
          <w:color w:val="4F81BD" w:themeColor="accent1"/>
          <w:sz w:val="24"/>
          <w:szCs w:val="24"/>
        </w:rPr>
      </w:pPr>
      <w:r w:rsidRPr="002F7DBB">
        <w:rPr>
          <w:rFonts w:ascii="Times New Roman" w:hAnsi="Times New Roman" w:cs="Times New Roman"/>
          <w:sz w:val="24"/>
          <w:szCs w:val="24"/>
        </w:rPr>
        <w:t>“</w:t>
      </w:r>
      <w:r w:rsidRPr="002F7DBB">
        <w:rPr>
          <w:rFonts w:ascii="Times New Roman" w:hAnsi="Times New Roman" w:cs="Times New Roman"/>
          <w:i/>
          <w:color w:val="4F81BD" w:themeColor="accent1"/>
          <w:sz w:val="24"/>
          <w:szCs w:val="24"/>
        </w:rPr>
        <w:t>This phrase</w:t>
      </w:r>
      <w:r w:rsidRPr="002F7DBB">
        <w:rPr>
          <w:rFonts w:ascii="Times New Roman" w:hAnsi="Times New Roman" w:cs="Times New Roman"/>
          <w:color w:val="4F81BD" w:themeColor="accent1"/>
          <w:sz w:val="24"/>
          <w:szCs w:val="24"/>
        </w:rPr>
        <w:t xml:space="preserve"> (There is no god but God) </w:t>
      </w:r>
      <w:r w:rsidRPr="002F7DBB">
        <w:rPr>
          <w:rFonts w:ascii="Times New Roman" w:hAnsi="Times New Roman" w:cs="Times New Roman"/>
          <w:i/>
          <w:color w:val="4F81BD" w:themeColor="accent1"/>
          <w:sz w:val="24"/>
          <w:szCs w:val="24"/>
        </w:rPr>
        <w:t xml:space="preserve">contains the following good news for the human spirit, subject as it is to countless needs and the attacks of innumerable enemies. On the one hand it finds a place of recourse, a source of help, through which is opened to it the door of a </w:t>
      </w:r>
      <w:proofErr w:type="spellStart"/>
      <w:r w:rsidRPr="002F7DBB">
        <w:rPr>
          <w:rFonts w:ascii="Times New Roman" w:hAnsi="Times New Roman" w:cs="Times New Roman"/>
          <w:i/>
          <w:color w:val="4F81BD" w:themeColor="accent1"/>
          <w:sz w:val="24"/>
          <w:szCs w:val="24"/>
        </w:rPr>
        <w:t>tresuary</w:t>
      </w:r>
      <w:proofErr w:type="spellEnd"/>
      <w:r w:rsidRPr="002F7DBB">
        <w:rPr>
          <w:rFonts w:ascii="Times New Roman" w:hAnsi="Times New Roman" w:cs="Times New Roman"/>
          <w:i/>
          <w:color w:val="4F81BD" w:themeColor="accent1"/>
          <w:sz w:val="24"/>
          <w:szCs w:val="24"/>
        </w:rPr>
        <w:t xml:space="preserve"> of mercy that </w:t>
      </w:r>
      <w:proofErr w:type="spellStart"/>
      <w:proofErr w:type="gramStart"/>
      <w:r w:rsidRPr="002F7DBB">
        <w:rPr>
          <w:rFonts w:ascii="Times New Roman" w:hAnsi="Times New Roman" w:cs="Times New Roman"/>
          <w:i/>
          <w:color w:val="4F81BD" w:themeColor="accent1"/>
          <w:sz w:val="24"/>
          <w:szCs w:val="24"/>
        </w:rPr>
        <w:t>weill</w:t>
      </w:r>
      <w:proofErr w:type="spellEnd"/>
      <w:proofErr w:type="gramEnd"/>
      <w:r w:rsidRPr="002F7DBB">
        <w:rPr>
          <w:rFonts w:ascii="Times New Roman" w:hAnsi="Times New Roman" w:cs="Times New Roman"/>
          <w:i/>
          <w:color w:val="4F81BD" w:themeColor="accent1"/>
          <w:sz w:val="24"/>
          <w:szCs w:val="24"/>
        </w:rPr>
        <w:t xml:space="preserve"> guarantee all it needs. While on the other it finds a point of support and strength, for the phrase makes known to its Creator and True Object of Worship, Who </w:t>
      </w:r>
      <w:proofErr w:type="spellStart"/>
      <w:r w:rsidRPr="002F7DBB">
        <w:rPr>
          <w:rFonts w:ascii="Times New Roman" w:hAnsi="Times New Roman" w:cs="Times New Roman"/>
          <w:i/>
          <w:color w:val="4F81BD" w:themeColor="accent1"/>
          <w:sz w:val="24"/>
          <w:szCs w:val="24"/>
        </w:rPr>
        <w:t>possesess</w:t>
      </w:r>
      <w:proofErr w:type="spellEnd"/>
      <w:r w:rsidRPr="002F7DBB">
        <w:rPr>
          <w:rFonts w:ascii="Times New Roman" w:hAnsi="Times New Roman" w:cs="Times New Roman"/>
          <w:i/>
          <w:color w:val="4F81BD" w:themeColor="accent1"/>
          <w:sz w:val="24"/>
          <w:szCs w:val="24"/>
        </w:rPr>
        <w:t xml:space="preserve"> and absolute power that will secure it from the evil of all its enemies; it shows it its master, and who it is that owns it. Through pointing this out, the phrase saves the heart from utter desolation and the spirit from aching sorrow; it ensures an eternal joy, a perpetual happiness.” </w:t>
      </w:r>
    </w:p>
    <w:p w:rsidR="00773CD7" w:rsidRPr="002F7DBB" w:rsidRDefault="00773CD7" w:rsidP="00773CD7">
      <w:pPr>
        <w:spacing w:line="360" w:lineRule="auto"/>
        <w:jc w:val="both"/>
        <w:rPr>
          <w:rFonts w:ascii="Times New Roman" w:hAnsi="Times New Roman" w:cs="Times New Roman"/>
          <w:sz w:val="24"/>
          <w:szCs w:val="24"/>
        </w:rPr>
      </w:pP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goes on to describe the point of view of an individual with </w:t>
      </w:r>
      <w:proofErr w:type="spellStart"/>
      <w:r w:rsidRPr="002F7DBB">
        <w:rPr>
          <w:rFonts w:ascii="Times New Roman" w:hAnsi="Times New Roman" w:cs="Times New Roman"/>
          <w:sz w:val="24"/>
          <w:szCs w:val="24"/>
        </w:rPr>
        <w:t>iman</w:t>
      </w:r>
      <w:proofErr w:type="spellEnd"/>
      <w:r w:rsidRPr="002F7DBB">
        <w:rPr>
          <w:rFonts w:ascii="Times New Roman" w:hAnsi="Times New Roman" w:cs="Times New Roman"/>
          <w:sz w:val="24"/>
          <w:szCs w:val="24"/>
        </w:rPr>
        <w:t xml:space="preserve"> in comparison as well.  </w:t>
      </w:r>
    </w:p>
    <w:p w:rsidR="00773CD7" w:rsidRPr="002F7DBB" w:rsidRDefault="00773CD7" w:rsidP="00773CD7">
      <w:pPr>
        <w:spacing w:line="360" w:lineRule="auto"/>
        <w:jc w:val="both"/>
        <w:rPr>
          <w:rFonts w:ascii="Times New Roman" w:hAnsi="Times New Roman" w:cs="Times New Roman"/>
          <w:i/>
          <w:color w:val="365F91" w:themeColor="accent1" w:themeShade="BF"/>
          <w:sz w:val="24"/>
          <w:szCs w:val="24"/>
        </w:rPr>
      </w:pPr>
      <w:r w:rsidRPr="002F7DBB">
        <w:rPr>
          <w:rFonts w:ascii="Times New Roman" w:hAnsi="Times New Roman" w:cs="Times New Roman"/>
          <w:i/>
          <w:color w:val="365F91" w:themeColor="accent1" w:themeShade="BF"/>
          <w:sz w:val="24"/>
          <w:szCs w:val="24"/>
        </w:rPr>
        <w:t xml:space="preserve">“On seeing the world of humanity in this darkness I was about to cry out with my heart, spirit, and mind, and all my subtle inner faculties, indeed all the particles of my being, when the light and power of belief proceeding from the Qur’an smashed those spectacles of misguidance, giving me insight. I saw the divine Name of All-Just rising like the sun in the sign of All-Wise, the Name of All-Merciful rising in the sign of Munificent, the Name of All-Compassionate rising in the sign of, that is, in the meaning of, All-Forgiving, the Name of </w:t>
      </w:r>
      <w:proofErr w:type="spellStart"/>
      <w:r w:rsidRPr="002F7DBB">
        <w:rPr>
          <w:rFonts w:ascii="Times New Roman" w:hAnsi="Times New Roman" w:cs="Times New Roman"/>
          <w:i/>
          <w:color w:val="365F91" w:themeColor="accent1" w:themeShade="BF"/>
          <w:sz w:val="24"/>
          <w:szCs w:val="24"/>
        </w:rPr>
        <w:t>Resurrector</w:t>
      </w:r>
      <w:proofErr w:type="spellEnd"/>
      <w:r w:rsidRPr="002F7DBB">
        <w:rPr>
          <w:rFonts w:ascii="Times New Roman" w:hAnsi="Times New Roman" w:cs="Times New Roman"/>
          <w:i/>
          <w:color w:val="365F91" w:themeColor="accent1" w:themeShade="BF"/>
          <w:sz w:val="24"/>
          <w:szCs w:val="24"/>
        </w:rPr>
        <w:t xml:space="preserve"> rising in the sign of Inheritor, the Name of Granter of Life rising in the sign of Bountiful, and the Name of </w:t>
      </w:r>
      <w:proofErr w:type="spellStart"/>
      <w:r w:rsidRPr="002F7DBB">
        <w:rPr>
          <w:rFonts w:ascii="Times New Roman" w:hAnsi="Times New Roman" w:cs="Times New Roman"/>
          <w:i/>
          <w:color w:val="365F91" w:themeColor="accent1" w:themeShade="BF"/>
          <w:sz w:val="24"/>
          <w:szCs w:val="24"/>
        </w:rPr>
        <w:t>Sustainer</w:t>
      </w:r>
      <w:proofErr w:type="spellEnd"/>
      <w:r w:rsidRPr="002F7DBB">
        <w:rPr>
          <w:rFonts w:ascii="Times New Roman" w:hAnsi="Times New Roman" w:cs="Times New Roman"/>
          <w:i/>
          <w:color w:val="365F91" w:themeColor="accent1" w:themeShade="BF"/>
          <w:sz w:val="24"/>
          <w:szCs w:val="24"/>
        </w:rPr>
        <w:t xml:space="preserve"> rising in the sign of Owner. They lit up the entire world of humanity and all the worlds within it. They dispelled those hellish states, opened up windows onto the </w:t>
      </w:r>
      <w:proofErr w:type="spellStart"/>
      <w:r w:rsidRPr="002F7DBB">
        <w:rPr>
          <w:rFonts w:ascii="Times New Roman" w:hAnsi="Times New Roman" w:cs="Times New Roman"/>
          <w:i/>
          <w:color w:val="365F91" w:themeColor="accent1" w:themeShade="BF"/>
          <w:sz w:val="24"/>
          <w:szCs w:val="24"/>
        </w:rPr>
        <w:t>huminous</w:t>
      </w:r>
      <w:proofErr w:type="spellEnd"/>
      <w:r w:rsidRPr="002F7DBB">
        <w:rPr>
          <w:rFonts w:ascii="Times New Roman" w:hAnsi="Times New Roman" w:cs="Times New Roman"/>
          <w:i/>
          <w:color w:val="365F91" w:themeColor="accent1" w:themeShade="BF"/>
          <w:sz w:val="24"/>
          <w:szCs w:val="24"/>
        </w:rPr>
        <w:t xml:space="preserve"> world of the hereafter, and scattered lights over the world of humanity. I declared “Praise and thanks be to God to the number of particles in existence!” I understood with complete certainty that in belief is a sort of paradise in this world too and in misguidance, a sort of hell.”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lastRenderedPageBreak/>
        <w:t xml:space="preserve">The way he approaches the situation is quite remarkable as the information and the path to evaluate that information are presented together. Before a conclusive statement two converse positions are discussed together through personal insight.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For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the potential infinity is a concept which can only be satisfied by belief in the hereafter through affirmation of Divine Unity. This brings a projection of that paradise to this world. This maybe the reason for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to say there is a sort of paradise in this world too. Martin Buber’s dialogical philosophy has a similar approach as he also discusses the realization of the unity which would help </w:t>
      </w:r>
      <w:r w:rsidRPr="002F7DBB">
        <w:rPr>
          <w:rFonts w:ascii="Times New Roman" w:hAnsi="Times New Roman" w:cs="Times New Roman"/>
          <w:i/>
          <w:sz w:val="24"/>
          <w:szCs w:val="24"/>
        </w:rPr>
        <w:t>glimpse the eternity</w:t>
      </w:r>
      <w:r w:rsidRPr="002F7DBB">
        <w:rPr>
          <w:rFonts w:ascii="Times New Roman" w:hAnsi="Times New Roman" w:cs="Times New Roman"/>
          <w:sz w:val="24"/>
          <w:szCs w:val="24"/>
        </w:rPr>
        <w:t xml:space="preserve"> instead of a having a </w:t>
      </w:r>
      <w:r w:rsidRPr="002F7DBB">
        <w:rPr>
          <w:rFonts w:ascii="Times New Roman" w:hAnsi="Times New Roman" w:cs="Times New Roman"/>
          <w:i/>
          <w:sz w:val="24"/>
          <w:szCs w:val="24"/>
        </w:rPr>
        <w:t>grave in nothingness</w:t>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does not stop by defining the notion of infinity but moves forward to explore the impacts of this potentiality in human existence and psychology. This is one fundamental quality that distinguishes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from other theologians.</w:t>
      </w:r>
    </w:p>
    <w:p w:rsidR="00773CD7" w:rsidRPr="002F7DBB" w:rsidRDefault="00773CD7" w:rsidP="00773CD7">
      <w:pPr>
        <w:pStyle w:val="Title"/>
        <w:rPr>
          <w:rFonts w:ascii="Times New Roman" w:hAnsi="Times New Roman" w:cs="Times New Roman"/>
          <w:sz w:val="24"/>
          <w:szCs w:val="24"/>
        </w:rPr>
      </w:pPr>
      <w:r w:rsidRPr="002F7DBB">
        <w:rPr>
          <w:rFonts w:ascii="Times New Roman" w:hAnsi="Times New Roman" w:cs="Times New Roman"/>
          <w:sz w:val="24"/>
          <w:szCs w:val="24"/>
        </w:rPr>
        <w:t>Concept of “I” (</w:t>
      </w:r>
      <w:proofErr w:type="spellStart"/>
      <w:proofErr w:type="gramStart"/>
      <w:r w:rsidRPr="002F7DBB">
        <w:rPr>
          <w:rFonts w:ascii="Times New Roman" w:hAnsi="Times New Roman" w:cs="Times New Roman"/>
          <w:sz w:val="24"/>
          <w:szCs w:val="24"/>
        </w:rPr>
        <w:t>Ene</w:t>
      </w:r>
      <w:proofErr w:type="spellEnd"/>
      <w:proofErr w:type="gramEnd"/>
      <w:r w:rsidRPr="002F7DBB">
        <w:rPr>
          <w:rFonts w:ascii="Times New Roman" w:hAnsi="Times New Roman" w:cs="Times New Roman"/>
          <w:sz w:val="24"/>
          <w:szCs w:val="24"/>
        </w:rPr>
        <w:t xml:space="preserve">) in </w:t>
      </w:r>
      <w:proofErr w:type="spellStart"/>
      <w:r w:rsidRPr="002F7DBB">
        <w:rPr>
          <w:rFonts w:ascii="Times New Roman" w:hAnsi="Times New Roman" w:cs="Times New Roman"/>
          <w:sz w:val="24"/>
          <w:szCs w:val="24"/>
        </w:rPr>
        <w:t>Risale-i</w:t>
      </w:r>
      <w:proofErr w:type="spellEnd"/>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Nur</w:t>
      </w:r>
      <w:proofErr w:type="spellEnd"/>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As discussed above for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self or self-affirmation or self-interpretation is not a rigid concept. In a sense these concepts are subjective for each individual. And in this subjectivity </w:t>
      </w:r>
      <w:proofErr w:type="spellStart"/>
      <w:r w:rsidRPr="002F7DBB">
        <w:rPr>
          <w:rFonts w:ascii="Times New Roman" w:hAnsi="Times New Roman" w:cs="Times New Roman"/>
          <w:sz w:val="24"/>
          <w:szCs w:val="24"/>
        </w:rPr>
        <w:t>iman</w:t>
      </w:r>
      <w:proofErr w:type="spellEnd"/>
      <w:r w:rsidRPr="002F7DBB">
        <w:rPr>
          <w:rFonts w:ascii="Times New Roman" w:hAnsi="Times New Roman" w:cs="Times New Roman"/>
          <w:sz w:val="24"/>
          <w:szCs w:val="24"/>
        </w:rPr>
        <w:t xml:space="preserve"> is a determining factor to how the individual takes his/her stand.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The “I” concept is one critical key in this manner. Because it adjusts the position of individual in front of God and also gives him the tools to understand not only himself but also the concept of God. </w:t>
      </w:r>
      <w:r w:rsidRPr="002F7DBB">
        <w:rPr>
          <w:rFonts w:ascii="Times New Roman" w:hAnsi="Times New Roman" w:cs="Times New Roman"/>
          <w:iCs/>
          <w:sz w:val="24"/>
          <w:szCs w:val="24"/>
        </w:rPr>
        <w:t xml:space="preserve">As highlighted above the basis and aim of </w:t>
      </w:r>
      <w:proofErr w:type="spellStart"/>
      <w:r w:rsidRPr="002F7DBB">
        <w:rPr>
          <w:rFonts w:ascii="Times New Roman" w:hAnsi="Times New Roman" w:cs="Times New Roman"/>
          <w:iCs/>
          <w:sz w:val="24"/>
          <w:szCs w:val="24"/>
        </w:rPr>
        <w:t>Bediuzzaman</w:t>
      </w:r>
      <w:proofErr w:type="spellEnd"/>
      <w:r w:rsidRPr="002F7DBB">
        <w:rPr>
          <w:rFonts w:ascii="Times New Roman" w:hAnsi="Times New Roman" w:cs="Times New Roman"/>
          <w:iCs/>
          <w:sz w:val="24"/>
          <w:szCs w:val="24"/>
        </w:rPr>
        <w:t xml:space="preserve"> Said </w:t>
      </w:r>
      <w:proofErr w:type="spellStart"/>
      <w:r w:rsidRPr="002F7DBB">
        <w:rPr>
          <w:rFonts w:ascii="Times New Roman" w:hAnsi="Times New Roman" w:cs="Times New Roman"/>
          <w:iCs/>
          <w:sz w:val="24"/>
          <w:szCs w:val="24"/>
        </w:rPr>
        <w:t>Nursi’s</w:t>
      </w:r>
      <w:proofErr w:type="spellEnd"/>
      <w:r w:rsidRPr="002F7DBB">
        <w:rPr>
          <w:rFonts w:ascii="Times New Roman" w:hAnsi="Times New Roman" w:cs="Times New Roman"/>
          <w:iCs/>
          <w:sz w:val="24"/>
          <w:szCs w:val="24"/>
        </w:rPr>
        <w:t xml:space="preserve"> writings were belief and reality of Qur’an, and this was again the defining notion. The problems of self-affirmation and self-interpretation were no different for him. He evaluated these issues in relation to the attributes of God (Divine Names). He says;</w:t>
      </w:r>
    </w:p>
    <w:p w:rsidR="00773CD7" w:rsidRPr="002F7DBB" w:rsidRDefault="00773CD7" w:rsidP="00773CD7">
      <w:pPr>
        <w:spacing w:line="360" w:lineRule="auto"/>
        <w:jc w:val="both"/>
        <w:rPr>
          <w:rFonts w:ascii="Times New Roman" w:hAnsi="Times New Roman" w:cs="Times New Roman"/>
          <w:color w:val="0070C0"/>
          <w:sz w:val="24"/>
          <w:szCs w:val="24"/>
        </w:rPr>
      </w:pPr>
      <w:r w:rsidRPr="002F7DBB">
        <w:rPr>
          <w:rFonts w:ascii="Times New Roman" w:hAnsi="Times New Roman" w:cs="Times New Roman"/>
          <w:i/>
          <w:color w:val="0070C0"/>
          <w:sz w:val="24"/>
          <w:szCs w:val="24"/>
        </w:rPr>
        <w:t>As the key to the Divine Names, which are hidden treasures, the 'I' is also the key to the locked talisman of creation; it is a problem-solving riddle, a wondrous talisman. When its nature is known, the 'I', that strange riddle, that amazing talisman, is disclosed, and it also discloses the talisman of the universe and the treasures of the Necessary World.</w:t>
      </w:r>
      <w:r w:rsidRPr="002F7DBB">
        <w:rPr>
          <w:rFonts w:ascii="Times New Roman" w:hAnsi="Times New Roman" w:cs="Times New Roman"/>
          <w:color w:val="0070C0"/>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Realization of the unity in the universe is also related to the understanding of “I”. </w:t>
      </w:r>
      <w:r w:rsidRPr="002F7DBB">
        <w:rPr>
          <w:rFonts w:ascii="Times New Roman" w:hAnsi="Times New Roman" w:cs="Times New Roman"/>
          <w:color w:val="0070C0"/>
          <w:sz w:val="24"/>
          <w:szCs w:val="24"/>
        </w:rPr>
        <w:t>“</w:t>
      </w:r>
      <w:r w:rsidRPr="002F7DBB">
        <w:rPr>
          <w:rFonts w:ascii="Times New Roman" w:hAnsi="Times New Roman" w:cs="Times New Roman"/>
          <w:i/>
          <w:color w:val="0070C0"/>
          <w:sz w:val="24"/>
          <w:szCs w:val="24"/>
        </w:rPr>
        <w:t xml:space="preserve">...When </w:t>
      </w:r>
      <w:proofErr w:type="spellStart"/>
      <w:r w:rsidRPr="002F7DBB">
        <w:rPr>
          <w:rFonts w:ascii="Times New Roman" w:hAnsi="Times New Roman" w:cs="Times New Roman"/>
          <w:i/>
          <w:color w:val="0070C0"/>
          <w:sz w:val="24"/>
          <w:szCs w:val="24"/>
        </w:rPr>
        <w:t>its</w:t>
      </w:r>
      <w:proofErr w:type="spellEnd"/>
      <w:r w:rsidRPr="002F7DBB">
        <w:rPr>
          <w:rFonts w:ascii="Times New Roman" w:hAnsi="Times New Roman" w:cs="Times New Roman"/>
          <w:i/>
          <w:color w:val="0070C0"/>
          <w:sz w:val="24"/>
          <w:szCs w:val="24"/>
        </w:rPr>
        <w:t xml:space="preserve"> true nature and the purpose of its creation are known, as it is itself solved, so too will be the universe.</w:t>
      </w:r>
      <w:r w:rsidRPr="002F7DBB">
        <w:rPr>
          <w:rFonts w:ascii="Times New Roman" w:hAnsi="Times New Roman" w:cs="Times New Roman"/>
          <w:sz w:val="24"/>
          <w:szCs w:val="24"/>
        </w:rPr>
        <w:t xml:space="preserve">”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goes on further to describe the concept in relation to the attributes of God. </w:t>
      </w:r>
    </w:p>
    <w:p w:rsidR="00773CD7" w:rsidRPr="002F7DBB" w:rsidRDefault="00773CD7" w:rsidP="00773CD7">
      <w:pPr>
        <w:spacing w:line="360" w:lineRule="auto"/>
        <w:jc w:val="both"/>
        <w:rPr>
          <w:rFonts w:ascii="Times New Roman" w:hAnsi="Times New Roman" w:cs="Times New Roman"/>
          <w:color w:val="0070C0"/>
          <w:sz w:val="24"/>
          <w:szCs w:val="24"/>
        </w:rPr>
      </w:pPr>
      <w:r w:rsidRPr="002F7DBB">
        <w:rPr>
          <w:rFonts w:ascii="Times New Roman" w:hAnsi="Times New Roman" w:cs="Times New Roman"/>
          <w:i/>
          <w:color w:val="0070C0"/>
          <w:sz w:val="24"/>
          <w:szCs w:val="24"/>
        </w:rPr>
        <w:lastRenderedPageBreak/>
        <w:t xml:space="preserve">“The All-Wise Maker gave to man as a Trust an 'I' which comprises indications and samples that show and cause to recognize the truths of the attributes and functions of His </w:t>
      </w:r>
      <w:proofErr w:type="spellStart"/>
      <w:r w:rsidRPr="002F7DBB">
        <w:rPr>
          <w:rFonts w:ascii="Times New Roman" w:hAnsi="Times New Roman" w:cs="Times New Roman"/>
          <w:i/>
          <w:color w:val="0070C0"/>
          <w:sz w:val="24"/>
          <w:szCs w:val="24"/>
        </w:rPr>
        <w:t>Dominicality</w:t>
      </w:r>
      <w:proofErr w:type="spellEnd"/>
      <w:r w:rsidRPr="002F7DBB">
        <w:rPr>
          <w:rFonts w:ascii="Times New Roman" w:hAnsi="Times New Roman" w:cs="Times New Roman"/>
          <w:i/>
          <w:color w:val="0070C0"/>
          <w:sz w:val="24"/>
          <w:szCs w:val="24"/>
        </w:rPr>
        <w:t xml:space="preserve">, so that the 'I' might be a unit of measurement and the attributes of </w:t>
      </w:r>
      <w:proofErr w:type="spellStart"/>
      <w:r w:rsidRPr="002F7DBB">
        <w:rPr>
          <w:rFonts w:ascii="Times New Roman" w:hAnsi="Times New Roman" w:cs="Times New Roman"/>
          <w:i/>
          <w:color w:val="0070C0"/>
          <w:sz w:val="24"/>
          <w:szCs w:val="24"/>
        </w:rPr>
        <w:t>Dominicality</w:t>
      </w:r>
      <w:proofErr w:type="spellEnd"/>
      <w:r w:rsidRPr="002F7DBB">
        <w:rPr>
          <w:rFonts w:ascii="Times New Roman" w:hAnsi="Times New Roman" w:cs="Times New Roman"/>
          <w:i/>
          <w:color w:val="0070C0"/>
          <w:sz w:val="24"/>
          <w:szCs w:val="24"/>
        </w:rPr>
        <w:t xml:space="preserve"> and functions of Divinity might be known. However, it is not necessary for a unit of measurement to have actual existence. Rather, like hypothetical lines in geometry, a unit of measurement may be formed by hypothesis and supposition. It is not necessary for its actual existence to be established by concrete knowledge and proofs.</w:t>
      </w:r>
      <w:r w:rsidRPr="002F7DBB">
        <w:rPr>
          <w:rFonts w:ascii="Times New Roman" w:hAnsi="Times New Roman" w:cs="Times New Roman"/>
          <w:color w:val="0070C0"/>
          <w:sz w:val="24"/>
          <w:szCs w:val="24"/>
        </w:rPr>
        <w:t>”</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To further explain this I think it is appropriate to give some simple examples. If we want to talk about the height of a building and be clear about it we say building A is as tall as or taller or shorter than building B. To be more specific we can increase the amount of reference planes according to which we are comparing. For example we can say building A is taller than building B and C but shorter than building D and more or less at the same height with building E. Increasing the amount of references helps us in understanding the true height of the building.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In the case of trying to understand the true nature of the attributes of God through a similar analogy there are some limitations and complications. As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says “</w:t>
      </w:r>
      <w:r w:rsidRPr="002F7DBB">
        <w:rPr>
          <w:rFonts w:ascii="Times New Roman" w:hAnsi="Times New Roman" w:cs="Times New Roman"/>
          <w:i/>
          <w:color w:val="0070C0"/>
          <w:sz w:val="24"/>
          <w:szCs w:val="24"/>
        </w:rPr>
        <w:t xml:space="preserve">Since an absolute and all-encompassing thing has no limits or end, neither may a shape be given to it, nor may a form be conferred on it, nor may it be determined; what its </w:t>
      </w:r>
      <w:proofErr w:type="spellStart"/>
      <w:r w:rsidRPr="002F7DBB">
        <w:rPr>
          <w:rFonts w:ascii="Times New Roman" w:hAnsi="Times New Roman" w:cs="Times New Roman"/>
          <w:i/>
          <w:color w:val="0070C0"/>
          <w:sz w:val="24"/>
          <w:szCs w:val="24"/>
        </w:rPr>
        <w:t>quiddity</w:t>
      </w:r>
      <w:proofErr w:type="spellEnd"/>
      <w:r w:rsidRPr="002F7DBB">
        <w:rPr>
          <w:rFonts w:ascii="Times New Roman" w:hAnsi="Times New Roman" w:cs="Times New Roman"/>
          <w:i/>
          <w:color w:val="0070C0"/>
          <w:sz w:val="24"/>
          <w:szCs w:val="24"/>
        </w:rPr>
        <w:t xml:space="preserve"> is may not be comprehended.</w:t>
      </w:r>
      <w:r w:rsidRPr="002F7DBB">
        <w:rPr>
          <w:rFonts w:ascii="Times New Roman" w:hAnsi="Times New Roman" w:cs="Times New Roman"/>
          <w:color w:val="984806" w:themeColor="accent6" w:themeShade="80"/>
          <w:sz w:val="24"/>
          <w:szCs w:val="24"/>
        </w:rPr>
        <w:t xml:space="preserve">” </w:t>
      </w:r>
      <w:r w:rsidRPr="002F7DBB">
        <w:rPr>
          <w:rFonts w:ascii="Times New Roman" w:hAnsi="Times New Roman" w:cs="Times New Roman"/>
          <w:sz w:val="24"/>
          <w:szCs w:val="24"/>
        </w:rPr>
        <w:t xml:space="preserve">This is when it becomes necessary to have an imaginary, fictitious line as a reference plane. When we try to understand God Almighty’s attributes the “I” concept draws this imaginary fictitious line and helps us in understanding the true nature of the attributes. In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Nursi’s</w:t>
      </w:r>
      <w:proofErr w:type="spellEnd"/>
      <w:r w:rsidRPr="002F7DBB">
        <w:rPr>
          <w:rFonts w:ascii="Times New Roman" w:hAnsi="Times New Roman" w:cs="Times New Roman"/>
          <w:sz w:val="24"/>
          <w:szCs w:val="24"/>
        </w:rPr>
        <w:t xml:space="preserve"> words; </w:t>
      </w:r>
    </w:p>
    <w:p w:rsidR="00773CD7" w:rsidRPr="002F7DBB" w:rsidRDefault="00773CD7" w:rsidP="00773CD7">
      <w:pPr>
        <w:spacing w:line="360" w:lineRule="auto"/>
        <w:jc w:val="both"/>
        <w:rPr>
          <w:rFonts w:ascii="Times New Roman" w:hAnsi="Times New Roman" w:cs="Times New Roman"/>
          <w:i/>
          <w:color w:val="0070C0"/>
          <w:sz w:val="24"/>
          <w:szCs w:val="24"/>
        </w:rPr>
      </w:pPr>
      <w:r w:rsidRPr="002F7DBB">
        <w:rPr>
          <w:rFonts w:ascii="Times New Roman" w:hAnsi="Times New Roman" w:cs="Times New Roman"/>
          <w:i/>
          <w:color w:val="0070C0"/>
          <w:sz w:val="24"/>
          <w:szCs w:val="24"/>
        </w:rPr>
        <w:t xml:space="preserve">“Thus, since God Almighty's attributes, like knowledge and power, and Names, like All-Wise and All-Compassionate, are all-encompassing, limitless, and without like, they may not be determined, and what they are may not be known or perceived. Therefore, since they do not have limits or an actual end, it is necessary to draw a hypothetical and imaginary limit. The 'I' does this. It imagines in itself a fictitious </w:t>
      </w:r>
      <w:proofErr w:type="spellStart"/>
      <w:r w:rsidRPr="002F7DBB">
        <w:rPr>
          <w:rFonts w:ascii="Times New Roman" w:hAnsi="Times New Roman" w:cs="Times New Roman"/>
          <w:i/>
          <w:color w:val="0070C0"/>
          <w:sz w:val="24"/>
          <w:szCs w:val="24"/>
        </w:rPr>
        <w:t>dominicality</w:t>
      </w:r>
      <w:proofErr w:type="spellEnd"/>
      <w:r w:rsidRPr="002F7DBB">
        <w:rPr>
          <w:rFonts w:ascii="Times New Roman" w:hAnsi="Times New Roman" w:cs="Times New Roman"/>
          <w:i/>
          <w:color w:val="0070C0"/>
          <w:sz w:val="24"/>
          <w:szCs w:val="24"/>
        </w:rPr>
        <w:t>, ownership, power, and knowledge: it draws a line. By doing this it places an imaginary limit on the all-encompassing attributes, saying, "Up to here, mine, after that, His"; it makes a division. With the tiny units of measurement in itself, it slowly understands the true nature of the attributes.”</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The concept of absolute Person was a result of Martin Buber’s dialogical approach. As discussed above this concept was criticised because of the levels of reductionism both </w:t>
      </w:r>
      <w:r w:rsidRPr="002F7DBB">
        <w:rPr>
          <w:rFonts w:ascii="Times New Roman" w:hAnsi="Times New Roman" w:cs="Times New Roman"/>
          <w:sz w:val="24"/>
          <w:szCs w:val="24"/>
        </w:rPr>
        <w:lastRenderedPageBreak/>
        <w:t xml:space="preserve">terminologically and theoretically. Like Martin Buber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also realizes that the attributes of God are limitless and cannot be determined and what they are cannot be known. At this point instead of having a reductionist approach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explains the notion further without violating the very fundamentals of it. Drawing a line and appreciating that the line or reference plane is fictitious is quite important as it determines the subjective position of the individual and at the same time does not violate the true nature of the attributes of God for the sake of clarifying what they truly are.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The role of the “I” concept is extended to cover all personal abilities and notions. In every moment and position this “I” concept can be realized. Every action, potential or capability is an indication of an attribute. The “I” realizes this and says</w:t>
      </w:r>
      <w:r w:rsidRPr="002F7DBB">
        <w:rPr>
          <w:rFonts w:ascii="Times New Roman" w:hAnsi="Times New Roman" w:cs="Times New Roman"/>
          <w:color w:val="632423" w:themeColor="accent2" w:themeShade="80"/>
          <w:sz w:val="24"/>
          <w:szCs w:val="24"/>
        </w:rPr>
        <w:t xml:space="preserve"> </w:t>
      </w:r>
      <w:r w:rsidRPr="002F7DBB">
        <w:rPr>
          <w:rFonts w:ascii="Times New Roman" w:hAnsi="Times New Roman" w:cs="Times New Roman"/>
          <w:i/>
          <w:color w:val="0070C0"/>
          <w:sz w:val="24"/>
          <w:szCs w:val="24"/>
        </w:rPr>
        <w:t>“Like I am the owner of this house, so too is the Creator the owner of the universe"</w:t>
      </w:r>
      <w:r w:rsidRPr="002F7DBB">
        <w:rPr>
          <w:rFonts w:ascii="Times New Roman" w:hAnsi="Times New Roman" w:cs="Times New Roman"/>
          <w:color w:val="632423" w:themeColor="accent2" w:themeShade="80"/>
          <w:sz w:val="24"/>
          <w:szCs w:val="24"/>
        </w:rPr>
        <w:t xml:space="preserve"> </w:t>
      </w:r>
      <w:r w:rsidRPr="002F7DBB">
        <w:rPr>
          <w:rFonts w:ascii="Times New Roman" w:hAnsi="Times New Roman" w:cs="Times New Roman"/>
          <w:sz w:val="24"/>
          <w:szCs w:val="24"/>
        </w:rPr>
        <w:t>or</w:t>
      </w:r>
      <w:r w:rsidRPr="002F7DBB">
        <w:rPr>
          <w:rFonts w:ascii="Times New Roman" w:hAnsi="Times New Roman" w:cs="Times New Roman"/>
          <w:color w:val="632423" w:themeColor="accent2" w:themeShade="80"/>
          <w:sz w:val="24"/>
          <w:szCs w:val="24"/>
        </w:rPr>
        <w:t xml:space="preserve"> </w:t>
      </w:r>
      <w:r w:rsidRPr="002F7DBB">
        <w:rPr>
          <w:rFonts w:ascii="Times New Roman" w:hAnsi="Times New Roman" w:cs="Times New Roman"/>
          <w:i/>
          <w:color w:val="0070C0"/>
          <w:sz w:val="24"/>
          <w:szCs w:val="24"/>
        </w:rPr>
        <w:t>"As I made this house and arranged it, so someone must have made the universe and arranged it," and so on.</w:t>
      </w:r>
      <w:r w:rsidRPr="002F7DBB">
        <w:rPr>
          <w:rFonts w:ascii="Times New Roman" w:hAnsi="Times New Roman" w:cs="Times New Roman"/>
          <w:color w:val="632423" w:themeColor="accent2" w:themeShade="80"/>
          <w:sz w:val="24"/>
          <w:szCs w:val="24"/>
        </w:rPr>
        <w:t xml:space="preserve"> </w:t>
      </w:r>
      <w:r w:rsidRPr="002F7DBB">
        <w:rPr>
          <w:rFonts w:ascii="Times New Roman" w:hAnsi="Times New Roman" w:cs="Times New Roman"/>
          <w:sz w:val="24"/>
          <w:szCs w:val="24"/>
        </w:rPr>
        <w:t>The number of examples can be increased.</w:t>
      </w:r>
    </w:p>
    <w:p w:rsidR="00773CD7" w:rsidRPr="002F7DBB" w:rsidRDefault="00773CD7" w:rsidP="00773CD7">
      <w:pPr>
        <w:spacing w:line="360" w:lineRule="auto"/>
        <w:jc w:val="both"/>
        <w:rPr>
          <w:rFonts w:ascii="Times New Roman" w:hAnsi="Times New Roman" w:cs="Times New Roman"/>
          <w:sz w:val="24"/>
          <w:szCs w:val="24"/>
        </w:rPr>
      </w:pP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further explains the nature of the “I”. </w:t>
      </w:r>
    </w:p>
    <w:p w:rsidR="00773CD7" w:rsidRPr="002F7DBB" w:rsidRDefault="00773CD7" w:rsidP="00773CD7">
      <w:pPr>
        <w:spacing w:line="360" w:lineRule="auto"/>
        <w:jc w:val="both"/>
        <w:rPr>
          <w:rFonts w:ascii="Times New Roman" w:hAnsi="Times New Roman" w:cs="Times New Roman"/>
          <w:color w:val="0070C0"/>
          <w:sz w:val="24"/>
          <w:szCs w:val="24"/>
        </w:rPr>
      </w:pPr>
      <w:r w:rsidRPr="002F7DBB">
        <w:rPr>
          <w:rFonts w:ascii="Times New Roman" w:hAnsi="Times New Roman" w:cs="Times New Roman"/>
          <w:i/>
          <w:color w:val="0070C0"/>
          <w:sz w:val="24"/>
          <w:szCs w:val="24"/>
        </w:rPr>
        <w:t xml:space="preserve">“...the 'I' is mirror-like, and, like a unit of measurement and tool for discovery, it has an indicative meaning; having no meaning in itself, it shows the meaning of others. It is a conscious strand from the thick rope of the human being, a fine thread from the raiment of the essence of humanity; it is an </w:t>
      </w:r>
      <w:proofErr w:type="spellStart"/>
      <w:r w:rsidRPr="002F7DBB">
        <w:rPr>
          <w:rFonts w:ascii="Times New Roman" w:hAnsi="Times New Roman" w:cs="Times New Roman"/>
          <w:i/>
          <w:color w:val="0070C0"/>
          <w:sz w:val="24"/>
          <w:szCs w:val="24"/>
        </w:rPr>
        <w:t>Alif</w:t>
      </w:r>
      <w:proofErr w:type="spellEnd"/>
      <w:r w:rsidRPr="002F7DBB">
        <w:rPr>
          <w:rFonts w:ascii="Times New Roman" w:hAnsi="Times New Roman" w:cs="Times New Roman"/>
          <w:i/>
          <w:color w:val="0070C0"/>
          <w:sz w:val="24"/>
          <w:szCs w:val="24"/>
        </w:rPr>
        <w:t xml:space="preserve"> from the book of the character of mankind... Rather, it is a sort of scale or measure, like a thermometer or barometer that indicates the degrees and amounts of things; it is a measure that makes known the absolute, all-encompassing and limitless attributes of the Necessary Being.”</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Understanding of the “I” concept as an indicative tool, a sort of scale gives the individual the perspective through which the unity in the universe can be appreciated. Such an individual can adjust his position in front of every situation and when he looks “</w:t>
      </w:r>
      <w:r w:rsidRPr="002F7DBB">
        <w:rPr>
          <w:rFonts w:ascii="Times New Roman" w:hAnsi="Times New Roman" w:cs="Times New Roman"/>
          <w:i/>
          <w:color w:val="0070C0"/>
          <w:sz w:val="24"/>
          <w:szCs w:val="24"/>
        </w:rPr>
        <w:t>through the telescope of his 'I', he sees what the universe is and what duties it is performing. And when he obtains information about the universe, he sees that his 'I' confirms it. This knowledge will remain as light and wisdom for him, and will not be transformed into darkness and futility.”</w:t>
      </w:r>
      <w:r w:rsidRPr="002F7DBB">
        <w:rPr>
          <w:rFonts w:ascii="Times New Roman" w:hAnsi="Times New Roman" w:cs="Times New Roman"/>
          <w:color w:val="0070C0"/>
          <w:sz w:val="24"/>
          <w:szCs w:val="24"/>
        </w:rPr>
        <w:t xml:space="preserve"> </w:t>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Through the imaginary line or fictitious reference the attributes of God should be realized. But at this point</w:t>
      </w:r>
      <w:r w:rsidRPr="002F7DBB">
        <w:rPr>
          <w:rFonts w:ascii="Times New Roman" w:hAnsi="Times New Roman" w:cs="Times New Roman"/>
          <w:color w:val="C00000"/>
          <w:sz w:val="24"/>
          <w:szCs w:val="24"/>
        </w:rPr>
        <w:t xml:space="preserve"> </w:t>
      </w:r>
      <w:r w:rsidRPr="002F7DBB">
        <w:rPr>
          <w:rFonts w:ascii="Times New Roman" w:hAnsi="Times New Roman" w:cs="Times New Roman"/>
          <w:color w:val="0070C0"/>
          <w:sz w:val="24"/>
          <w:szCs w:val="24"/>
        </w:rPr>
        <w:t>“</w:t>
      </w:r>
      <w:r w:rsidRPr="002F7DBB">
        <w:rPr>
          <w:rFonts w:ascii="Times New Roman" w:hAnsi="Times New Roman" w:cs="Times New Roman"/>
          <w:i/>
          <w:color w:val="0070C0"/>
          <w:sz w:val="24"/>
          <w:szCs w:val="24"/>
        </w:rPr>
        <w:t xml:space="preserve">when the 'I' fulfils its duty in this way, it abandons its imaginary </w:t>
      </w:r>
      <w:proofErr w:type="spellStart"/>
      <w:r w:rsidRPr="002F7DBB">
        <w:rPr>
          <w:rFonts w:ascii="Times New Roman" w:hAnsi="Times New Roman" w:cs="Times New Roman"/>
          <w:i/>
          <w:color w:val="0070C0"/>
          <w:sz w:val="24"/>
          <w:szCs w:val="24"/>
        </w:rPr>
        <w:t>dominicality</w:t>
      </w:r>
      <w:proofErr w:type="spellEnd"/>
      <w:r w:rsidRPr="002F7DBB">
        <w:rPr>
          <w:rFonts w:ascii="Times New Roman" w:hAnsi="Times New Roman" w:cs="Times New Roman"/>
          <w:i/>
          <w:color w:val="0070C0"/>
          <w:sz w:val="24"/>
          <w:szCs w:val="24"/>
        </w:rPr>
        <w:t xml:space="preserve"> and supposed ownership, which are the units of measurement.”</w:t>
      </w:r>
      <w:r w:rsidRPr="002F7DBB">
        <w:rPr>
          <w:rFonts w:ascii="Times New Roman" w:hAnsi="Times New Roman" w:cs="Times New Roman"/>
          <w:color w:val="C00000"/>
          <w:sz w:val="24"/>
          <w:szCs w:val="24"/>
        </w:rPr>
        <w:t xml:space="preserve"> </w:t>
      </w:r>
      <w:r w:rsidRPr="002F7DBB">
        <w:rPr>
          <w:rFonts w:ascii="Times New Roman" w:hAnsi="Times New Roman" w:cs="Times New Roman"/>
          <w:sz w:val="24"/>
          <w:szCs w:val="24"/>
        </w:rPr>
        <w:t xml:space="preserve">It should abandon this imaginary ownership completely to be in line with its true nature. </w:t>
      </w:r>
    </w:p>
    <w:p w:rsidR="00773CD7" w:rsidRPr="002F7DBB" w:rsidRDefault="00773CD7" w:rsidP="00773CD7">
      <w:pPr>
        <w:spacing w:line="360" w:lineRule="auto"/>
        <w:jc w:val="both"/>
        <w:rPr>
          <w:rFonts w:ascii="Times New Roman" w:hAnsi="Times New Roman" w:cs="Times New Roman"/>
          <w:i/>
          <w:sz w:val="24"/>
          <w:szCs w:val="24"/>
        </w:rPr>
      </w:pPr>
      <w:r w:rsidRPr="002F7DBB">
        <w:rPr>
          <w:rFonts w:ascii="Times New Roman" w:hAnsi="Times New Roman" w:cs="Times New Roman"/>
          <w:sz w:val="24"/>
          <w:szCs w:val="24"/>
        </w:rPr>
        <w:lastRenderedPageBreak/>
        <w:t>Once this transformation is completed than the individual can realize “</w:t>
      </w:r>
      <w:r w:rsidRPr="002F7DBB">
        <w:rPr>
          <w:rFonts w:ascii="Times New Roman" w:hAnsi="Times New Roman" w:cs="Times New Roman"/>
          <w:i/>
          <w:color w:val="0070C0"/>
          <w:sz w:val="24"/>
          <w:szCs w:val="24"/>
        </w:rPr>
        <w:t xml:space="preserve">that the aim of humanity and duty of human beings is to be </w:t>
      </w:r>
      <w:proofErr w:type="spellStart"/>
      <w:r w:rsidRPr="002F7DBB">
        <w:rPr>
          <w:rFonts w:ascii="Times New Roman" w:hAnsi="Times New Roman" w:cs="Times New Roman"/>
          <w:i/>
          <w:color w:val="0070C0"/>
          <w:sz w:val="24"/>
          <w:szCs w:val="24"/>
        </w:rPr>
        <w:t>molded</w:t>
      </w:r>
      <w:proofErr w:type="spellEnd"/>
      <w:r w:rsidRPr="002F7DBB">
        <w:rPr>
          <w:rFonts w:ascii="Times New Roman" w:hAnsi="Times New Roman" w:cs="Times New Roman"/>
          <w:i/>
          <w:color w:val="0070C0"/>
          <w:sz w:val="24"/>
          <w:szCs w:val="24"/>
        </w:rPr>
        <w:t xml:space="preserve"> by God-given ethics and good character, and, by knowing their impotence to seek refuge with Divine power, by seeing their weakness to rely on Divine strength, by realizing their poverty to trust in Divine mercy, by perceiving their need to seek help from Divine riches, by seeing their faults to ask for pardon through Divine forgiveness, and by realizing their deficiency to be glorifies of Divine perfection.</w:t>
      </w:r>
      <w:r w:rsidRPr="002F7DBB">
        <w:rPr>
          <w:rFonts w:ascii="Times New Roman" w:hAnsi="Times New Roman" w:cs="Times New Roman"/>
          <w:color w:val="C00000"/>
          <w:sz w:val="24"/>
          <w:szCs w:val="24"/>
        </w:rPr>
        <w:t xml:space="preserve">” </w:t>
      </w:r>
      <w:r w:rsidRPr="002F7DBB">
        <w:rPr>
          <w:rFonts w:ascii="Times New Roman" w:hAnsi="Times New Roman" w:cs="Times New Roman"/>
          <w:sz w:val="24"/>
          <w:szCs w:val="24"/>
        </w:rPr>
        <w:t xml:space="preserve">And also finds a place of recourse and ensures an eternal joy, a perpetual happiness.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On the other hand</w:t>
      </w:r>
      <w:r w:rsidRPr="002F7DBB">
        <w:rPr>
          <w:rFonts w:ascii="Times New Roman" w:hAnsi="Times New Roman" w:cs="Times New Roman"/>
          <w:color w:val="C00000"/>
          <w:sz w:val="24"/>
          <w:szCs w:val="24"/>
        </w:rPr>
        <w:t xml:space="preserve"> </w:t>
      </w:r>
      <w:r w:rsidRPr="002F7DBB">
        <w:rPr>
          <w:rFonts w:ascii="Times New Roman" w:hAnsi="Times New Roman" w:cs="Times New Roman"/>
          <w:color w:val="0070C0"/>
          <w:sz w:val="24"/>
          <w:szCs w:val="24"/>
        </w:rPr>
        <w:t>“...forgetting the wisdom of its creation and abandoning the duty of its nature, the 'I' views itself solely in the light of its nominal and apparent meaning, if it believes that it owns itself...”</w:t>
      </w:r>
      <w:r w:rsidRPr="002F7DBB">
        <w:rPr>
          <w:rFonts w:ascii="Times New Roman" w:hAnsi="Times New Roman" w:cs="Times New Roman"/>
          <w:color w:val="C00000"/>
          <w:sz w:val="24"/>
          <w:szCs w:val="24"/>
        </w:rPr>
        <w:t xml:space="preserve"> </w:t>
      </w:r>
      <w:r w:rsidRPr="002F7DBB">
        <w:rPr>
          <w:rFonts w:ascii="Times New Roman" w:hAnsi="Times New Roman" w:cs="Times New Roman"/>
          <w:i/>
          <w:sz w:val="24"/>
          <w:szCs w:val="24"/>
        </w:rPr>
        <w:t>as carrying no meaning other than its own</w:t>
      </w:r>
      <w:r w:rsidRPr="002F7DBB">
        <w:rPr>
          <w:rFonts w:ascii="Times New Roman" w:hAnsi="Times New Roman" w:cs="Times New Roman"/>
          <w:sz w:val="24"/>
          <w:szCs w:val="24"/>
        </w:rPr>
        <w:t>. “</w:t>
      </w:r>
      <w:r w:rsidRPr="002F7DBB">
        <w:rPr>
          <w:rFonts w:ascii="Times New Roman" w:hAnsi="Times New Roman" w:cs="Times New Roman"/>
          <w:i/>
          <w:color w:val="0070C0"/>
          <w:sz w:val="24"/>
          <w:szCs w:val="24"/>
        </w:rPr>
        <w:t>It regards its existence as necessary and essential, that is, it says that it exists in itself and of itself. It falsely assumes that the 'I' owns its own life and is the real master in its sphere of disposal. It supposes it to be a constant reality</w:t>
      </w:r>
      <w:r w:rsidRPr="002F7DBB">
        <w:rPr>
          <w:rFonts w:ascii="Times New Roman" w:hAnsi="Times New Roman" w:cs="Times New Roman"/>
          <w:i/>
          <w:sz w:val="24"/>
          <w:szCs w:val="24"/>
        </w:rPr>
        <w:t>.</w:t>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This stand point was highlighted with Feuerbach’s proclaim of “</w:t>
      </w:r>
      <w:r w:rsidRPr="002F7DBB">
        <w:rPr>
          <w:rFonts w:ascii="Times New Roman" w:hAnsi="Times New Roman" w:cs="Times New Roman"/>
          <w:i/>
          <w:sz w:val="24"/>
          <w:szCs w:val="24"/>
        </w:rPr>
        <w:t>God is nothing else than the projected personality of man</w:t>
      </w:r>
      <w:r w:rsidRPr="002F7DBB">
        <w:rPr>
          <w:rFonts w:ascii="Times New Roman" w:hAnsi="Times New Roman" w:cs="Times New Roman"/>
          <w:sz w:val="24"/>
          <w:szCs w:val="24"/>
        </w:rPr>
        <w:t>”</w:t>
      </w:r>
      <w:r w:rsidRPr="002F7DBB">
        <w:rPr>
          <w:rStyle w:val="FootnoteReference"/>
          <w:rFonts w:ascii="Times New Roman" w:hAnsi="Times New Roman" w:cs="Times New Roman"/>
          <w:sz w:val="24"/>
          <w:szCs w:val="24"/>
        </w:rPr>
        <w:t xml:space="preserve"> </w:t>
      </w:r>
      <w:r w:rsidRPr="002F7DBB">
        <w:rPr>
          <w:rStyle w:val="FootnoteReference"/>
          <w:rFonts w:ascii="Times New Roman" w:hAnsi="Times New Roman" w:cs="Times New Roman"/>
          <w:sz w:val="24"/>
          <w:szCs w:val="24"/>
        </w:rPr>
        <w:footnoteReference w:id="32"/>
      </w:r>
      <w:r w:rsidRPr="002F7DBB">
        <w:rPr>
          <w:rFonts w:ascii="Times New Roman" w:hAnsi="Times New Roman" w:cs="Times New Roman"/>
          <w:sz w:val="24"/>
          <w:szCs w:val="24"/>
        </w:rPr>
        <w:t xml:space="preserve">.  </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Martin Buber’s suggestion of realization of eternal Thou in everyday objects and </w:t>
      </w:r>
      <w:proofErr w:type="gramStart"/>
      <w:r w:rsidRPr="002F7DBB">
        <w:rPr>
          <w:rFonts w:ascii="Times New Roman" w:hAnsi="Times New Roman" w:cs="Times New Roman"/>
          <w:sz w:val="24"/>
          <w:szCs w:val="24"/>
        </w:rPr>
        <w:t>every I</w:t>
      </w:r>
      <w:proofErr w:type="gramEnd"/>
      <w:r w:rsidRPr="002F7DBB">
        <w:rPr>
          <w:rFonts w:ascii="Times New Roman" w:hAnsi="Times New Roman" w:cs="Times New Roman"/>
          <w:sz w:val="24"/>
          <w:szCs w:val="24"/>
        </w:rPr>
        <w:t xml:space="preserve">-Thou relation or the concept of inborn Thou takes another form in the writings of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Every individual is equipped to evaluate every human potential to be an indicative unit for the attributes of God. This may be considered as a subjective tool for every individual to operate and explore in every moment and every situation to have a better understanding of our self and the attributes of God. Contrary to Paul Tillich,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shows that we have a lot more than just the symbols in our inadequate finitude to have an understanding of the concept of God  </w:t>
      </w:r>
    </w:p>
    <w:p w:rsidR="00773CD7" w:rsidRPr="002F7DBB" w:rsidRDefault="00773CD7" w:rsidP="00773CD7">
      <w:pPr>
        <w:pStyle w:val="Title"/>
        <w:rPr>
          <w:rFonts w:ascii="Times New Roman" w:hAnsi="Times New Roman" w:cs="Times New Roman"/>
          <w:sz w:val="24"/>
          <w:szCs w:val="24"/>
        </w:rPr>
      </w:pPr>
      <w:r w:rsidRPr="002F7DBB">
        <w:rPr>
          <w:rFonts w:ascii="Times New Roman" w:hAnsi="Times New Roman" w:cs="Times New Roman"/>
          <w:sz w:val="24"/>
          <w:szCs w:val="24"/>
        </w:rPr>
        <w:t>Conclusion</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Although all three thinkers are from different religious backgrounds, there is an element in all of them which speaks to people from any religious or non religious background. I think it is important in here to note that both Tillich and Buber has been read and studied extensively and mainly by academics, technical theologians and intellectuals, where writings of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has been read by the general public as well as intellectuals and </w:t>
      </w:r>
      <w:r w:rsidRPr="002F7DBB">
        <w:rPr>
          <w:rFonts w:ascii="Times New Roman" w:hAnsi="Times New Roman" w:cs="Times New Roman"/>
          <w:sz w:val="24"/>
          <w:szCs w:val="24"/>
        </w:rPr>
        <w:lastRenderedPageBreak/>
        <w:t xml:space="preserve">theologians. There is an important element in the writings of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which gives him the unique position he has amongst the theologians of this age. Instead of loading the individual with information he has let them speak for themselves in his writings. This was the achievement of a true dialogical relationship with the reader. He explored and discussed the situation of a believer and non-believer in detail and tried to show that there is a heaven in </w:t>
      </w:r>
      <w:proofErr w:type="spellStart"/>
      <w:r w:rsidRPr="002F7DBB">
        <w:rPr>
          <w:rFonts w:ascii="Times New Roman" w:hAnsi="Times New Roman" w:cs="Times New Roman"/>
          <w:sz w:val="24"/>
          <w:szCs w:val="24"/>
        </w:rPr>
        <w:t>iman</w:t>
      </w:r>
      <w:proofErr w:type="spellEnd"/>
      <w:r w:rsidRPr="002F7DBB">
        <w:rPr>
          <w:rFonts w:ascii="Times New Roman" w:hAnsi="Times New Roman" w:cs="Times New Roman"/>
          <w:sz w:val="24"/>
          <w:szCs w:val="24"/>
        </w:rPr>
        <w:t xml:space="preserve"> in this world and hell in disbelief. This is another reason why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can never be classified as an ordinary philosopher because his writings try to achieve a lot more than to inform. He tries to transform the minds and hearts of people.</w:t>
      </w:r>
    </w:p>
    <w:p w:rsidR="00773CD7" w:rsidRPr="002F7DBB" w:rsidRDefault="00773CD7" w:rsidP="00773CD7">
      <w:pPr>
        <w:spacing w:line="360" w:lineRule="auto"/>
        <w:jc w:val="both"/>
        <w:rPr>
          <w:rFonts w:ascii="Times New Roman" w:hAnsi="Times New Roman" w:cs="Times New Roman"/>
          <w:sz w:val="24"/>
          <w:szCs w:val="24"/>
        </w:rPr>
      </w:pPr>
      <w:r w:rsidRPr="002F7DBB">
        <w:rPr>
          <w:rFonts w:ascii="Times New Roman" w:hAnsi="Times New Roman" w:cs="Times New Roman"/>
          <w:sz w:val="24"/>
          <w:szCs w:val="24"/>
        </w:rPr>
        <w:t xml:space="preserve">For </w:t>
      </w:r>
      <w:proofErr w:type="spellStart"/>
      <w:r w:rsidRPr="002F7DBB">
        <w:rPr>
          <w:rFonts w:ascii="Times New Roman" w:hAnsi="Times New Roman" w:cs="Times New Roman"/>
          <w:sz w:val="24"/>
          <w:szCs w:val="24"/>
        </w:rPr>
        <w:t>Bediuzzaman</w:t>
      </w:r>
      <w:proofErr w:type="spellEnd"/>
      <w:r w:rsidRPr="002F7DBB">
        <w:rPr>
          <w:rFonts w:ascii="Times New Roman" w:hAnsi="Times New Roman" w:cs="Times New Roman"/>
          <w:sz w:val="24"/>
          <w:szCs w:val="24"/>
        </w:rPr>
        <w:t xml:space="preserve"> Said </w:t>
      </w:r>
      <w:proofErr w:type="spellStart"/>
      <w:r w:rsidRPr="002F7DBB">
        <w:rPr>
          <w:rFonts w:ascii="Times New Roman" w:hAnsi="Times New Roman" w:cs="Times New Roman"/>
          <w:sz w:val="24"/>
          <w:szCs w:val="24"/>
        </w:rPr>
        <w:t>Nursi</w:t>
      </w:r>
      <w:proofErr w:type="spellEnd"/>
      <w:r w:rsidRPr="002F7DBB">
        <w:rPr>
          <w:rFonts w:ascii="Times New Roman" w:hAnsi="Times New Roman" w:cs="Times New Roman"/>
          <w:sz w:val="24"/>
          <w:szCs w:val="24"/>
        </w:rPr>
        <w:t xml:space="preserve"> a true understanding of one himself/herself (“I”) is essential to fulfil the true potential as an individual. In a sense this is the essence of our existence, or the essence that stretches over the whole domain of existence and makes it meaningful. Self and essence are meaningful but only in terms of showing the meaning of others. </w:t>
      </w:r>
    </w:p>
    <w:p w:rsidR="00C61687" w:rsidRPr="002F7DBB" w:rsidRDefault="00C61687">
      <w:pPr>
        <w:rPr>
          <w:rFonts w:ascii="Times New Roman" w:hAnsi="Times New Roman" w:cs="Times New Roman"/>
          <w:sz w:val="24"/>
          <w:szCs w:val="24"/>
        </w:rPr>
      </w:pPr>
    </w:p>
    <w:sectPr w:rsidR="00C61687" w:rsidRPr="002F7DBB" w:rsidSect="00806C7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32C" w:rsidRDefault="0018432C" w:rsidP="00773CD7">
      <w:pPr>
        <w:spacing w:after="0" w:line="240" w:lineRule="auto"/>
      </w:pPr>
      <w:r>
        <w:separator/>
      </w:r>
    </w:p>
  </w:endnote>
  <w:endnote w:type="continuationSeparator" w:id="0">
    <w:p w:rsidR="0018432C" w:rsidRDefault="0018432C" w:rsidP="00773C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32C" w:rsidRDefault="0018432C" w:rsidP="00773CD7">
      <w:pPr>
        <w:spacing w:after="0" w:line="240" w:lineRule="auto"/>
      </w:pPr>
      <w:r>
        <w:separator/>
      </w:r>
    </w:p>
  </w:footnote>
  <w:footnote w:type="continuationSeparator" w:id="0">
    <w:p w:rsidR="0018432C" w:rsidRDefault="0018432C" w:rsidP="00773CD7">
      <w:pPr>
        <w:spacing w:after="0" w:line="240" w:lineRule="auto"/>
      </w:pPr>
      <w:r>
        <w:continuationSeparator/>
      </w:r>
    </w:p>
  </w:footnote>
  <w:footnote w:id="1">
    <w:p w:rsidR="00773CD7" w:rsidRDefault="00773CD7" w:rsidP="00773CD7">
      <w:pPr>
        <w:pStyle w:val="FootnoteText"/>
      </w:pPr>
      <w:r>
        <w:rPr>
          <w:rStyle w:val="FootnoteReference"/>
        </w:rPr>
        <w:footnoteRef/>
      </w:r>
      <w:r>
        <w:t xml:space="preserve"> </w:t>
      </w:r>
      <w:proofErr w:type="gramStart"/>
      <w:r>
        <w:t xml:space="preserve">Daniel F. Polish, Talking About God, </w:t>
      </w:r>
      <w:proofErr w:type="spellStart"/>
      <w:r>
        <w:t>SkyLight</w:t>
      </w:r>
      <w:proofErr w:type="spellEnd"/>
      <w:r>
        <w:t xml:space="preserve"> Paths Publishing, Woodstock, Vermont.</w:t>
      </w:r>
      <w:proofErr w:type="gramEnd"/>
      <w:r>
        <w:t xml:space="preserve"> 2007, p. 61</w:t>
      </w:r>
    </w:p>
  </w:footnote>
  <w:footnote w:id="2">
    <w:p w:rsidR="00773CD7" w:rsidRDefault="00773CD7" w:rsidP="00773CD7">
      <w:pPr>
        <w:pStyle w:val="FootnoteText"/>
      </w:pPr>
      <w:r>
        <w:rPr>
          <w:rStyle w:val="FootnoteReference"/>
        </w:rPr>
        <w:footnoteRef/>
      </w:r>
      <w:r>
        <w:t xml:space="preserve"> Paul Tillich, Systematic Theology, Volume One, </w:t>
      </w:r>
      <w:proofErr w:type="gramStart"/>
      <w:r>
        <w:t>The</w:t>
      </w:r>
      <w:proofErr w:type="gramEnd"/>
      <w:r>
        <w:t xml:space="preserve"> University of Chicago Press, Chicago, 1973, p. 4. </w:t>
      </w:r>
    </w:p>
  </w:footnote>
  <w:footnote w:id="3">
    <w:p w:rsidR="00773CD7" w:rsidRDefault="00773CD7" w:rsidP="00773CD7">
      <w:pPr>
        <w:pStyle w:val="FootnoteText"/>
      </w:pPr>
      <w:r>
        <w:rPr>
          <w:rStyle w:val="FootnoteReference"/>
        </w:rPr>
        <w:footnoteRef/>
      </w:r>
      <w:r>
        <w:t xml:space="preserve"> Martin Buber, I and Thou, Translated by R. G. Smith, T&amp;T Clark Ltd., Edinburgh, 2</w:t>
      </w:r>
      <w:r w:rsidRPr="002E1E4F">
        <w:rPr>
          <w:vertAlign w:val="superscript"/>
        </w:rPr>
        <w:t>nd</w:t>
      </w:r>
      <w:r>
        <w:t xml:space="preserve"> edition, 1994, p. 52.</w:t>
      </w:r>
    </w:p>
  </w:footnote>
  <w:footnote w:id="4">
    <w:p w:rsidR="00773CD7" w:rsidRDefault="00773CD7" w:rsidP="00773CD7">
      <w:pPr>
        <w:pStyle w:val="FootnoteText"/>
      </w:pPr>
      <w:r>
        <w:rPr>
          <w:rStyle w:val="FootnoteReference"/>
        </w:rPr>
        <w:footnoteRef/>
      </w:r>
      <w:r>
        <w:t xml:space="preserve"> </w:t>
      </w:r>
      <w:proofErr w:type="gramStart"/>
      <w:r>
        <w:t>Ibid.,</w:t>
      </w:r>
      <w:proofErr w:type="gramEnd"/>
      <w:r>
        <w:t xml:space="preserve"> p. 50.</w:t>
      </w:r>
    </w:p>
  </w:footnote>
  <w:footnote w:id="5">
    <w:p w:rsidR="00773CD7" w:rsidRDefault="00773CD7" w:rsidP="00773CD7">
      <w:pPr>
        <w:pStyle w:val="FootnoteText"/>
      </w:pPr>
      <w:r>
        <w:rPr>
          <w:rStyle w:val="FootnoteReference"/>
        </w:rPr>
        <w:footnoteRef/>
      </w:r>
      <w:r>
        <w:t xml:space="preserve"> </w:t>
      </w:r>
      <w:proofErr w:type="gramStart"/>
      <w:r>
        <w:t>Ibid.,</w:t>
      </w:r>
      <w:proofErr w:type="gramEnd"/>
      <w:r>
        <w:t xml:space="preserve"> p. 126.</w:t>
      </w:r>
    </w:p>
  </w:footnote>
  <w:footnote w:id="6">
    <w:p w:rsidR="00773CD7" w:rsidRDefault="00773CD7" w:rsidP="00773CD7">
      <w:pPr>
        <w:pStyle w:val="FootnoteText"/>
      </w:pPr>
      <w:r>
        <w:rPr>
          <w:rStyle w:val="FootnoteReference"/>
        </w:rPr>
        <w:footnoteRef/>
      </w:r>
      <w:r>
        <w:t xml:space="preserve"> </w:t>
      </w:r>
      <w:proofErr w:type="gramStart"/>
      <w:r>
        <w:t>Ibid.,</w:t>
      </w:r>
      <w:proofErr w:type="gramEnd"/>
      <w:r>
        <w:t xml:space="preserve"> p. 85.</w:t>
      </w:r>
    </w:p>
  </w:footnote>
  <w:footnote w:id="7">
    <w:p w:rsidR="00773CD7" w:rsidRDefault="00773CD7" w:rsidP="00773CD7">
      <w:pPr>
        <w:pStyle w:val="FootnoteText"/>
      </w:pPr>
      <w:r>
        <w:rPr>
          <w:rStyle w:val="FootnoteReference"/>
        </w:rPr>
        <w:footnoteRef/>
      </w:r>
      <w:r>
        <w:t xml:space="preserve"> </w:t>
      </w:r>
      <w:proofErr w:type="gramStart"/>
      <w:r>
        <w:t>Ibid.,</w:t>
      </w:r>
      <w:proofErr w:type="gramEnd"/>
      <w:r>
        <w:t xml:space="preserve"> p. 99.</w:t>
      </w:r>
    </w:p>
  </w:footnote>
  <w:footnote w:id="8">
    <w:p w:rsidR="00773CD7" w:rsidRDefault="00773CD7" w:rsidP="00773CD7">
      <w:pPr>
        <w:pStyle w:val="FootnoteText"/>
      </w:pPr>
      <w:r>
        <w:rPr>
          <w:rStyle w:val="FootnoteReference"/>
        </w:rPr>
        <w:footnoteRef/>
      </w:r>
      <w:r>
        <w:t xml:space="preserve"> </w:t>
      </w:r>
      <w:proofErr w:type="gramStart"/>
      <w:r>
        <w:t>Ibid.,</w:t>
      </w:r>
      <w:proofErr w:type="gramEnd"/>
      <w:r>
        <w:t xml:space="preserve"> p. 169.</w:t>
      </w:r>
    </w:p>
  </w:footnote>
  <w:footnote w:id="9">
    <w:p w:rsidR="00773CD7" w:rsidRDefault="00773CD7" w:rsidP="00773CD7">
      <w:pPr>
        <w:pStyle w:val="FootnoteText"/>
      </w:pPr>
      <w:r>
        <w:rPr>
          <w:rStyle w:val="FootnoteReference"/>
        </w:rPr>
        <w:footnoteRef/>
      </w:r>
      <w:r>
        <w:t xml:space="preserve"> </w:t>
      </w:r>
      <w:proofErr w:type="gramStart"/>
      <w:r>
        <w:t>Ibid.,</w:t>
      </w:r>
      <w:proofErr w:type="gramEnd"/>
      <w:r>
        <w:t xml:space="preserve"> p. 168.</w:t>
      </w:r>
    </w:p>
  </w:footnote>
  <w:footnote w:id="10">
    <w:p w:rsidR="00773CD7" w:rsidRDefault="00773CD7" w:rsidP="00773CD7">
      <w:pPr>
        <w:pStyle w:val="FootnoteText"/>
      </w:pPr>
      <w:r>
        <w:rPr>
          <w:rStyle w:val="FootnoteReference"/>
        </w:rPr>
        <w:footnoteRef/>
      </w:r>
      <w:r>
        <w:t xml:space="preserve"> Ludwig Feuerbach, The Essence of Christianity, Translated by George Eliot, Prometheus Books, </w:t>
      </w:r>
      <w:smartTag w:uri="urn:schemas-microsoft-com:office:smarttags" w:element="place">
        <w:smartTag w:uri="urn:schemas-microsoft-com:office:smarttags" w:element="City">
          <w:r>
            <w:t>Amherst</w:t>
          </w:r>
        </w:smartTag>
        <w:r>
          <w:t xml:space="preserve">, </w:t>
        </w:r>
        <w:smartTag w:uri="urn:schemas-microsoft-com:office:smarttags" w:element="State">
          <w:r>
            <w:t>New York</w:t>
          </w:r>
        </w:smartTag>
      </w:smartTag>
      <w:r>
        <w:t>, p. 14</w:t>
      </w:r>
    </w:p>
  </w:footnote>
  <w:footnote w:id="11">
    <w:p w:rsidR="00773CD7" w:rsidRDefault="00773CD7" w:rsidP="00773CD7">
      <w:pPr>
        <w:pStyle w:val="FootnoteText"/>
      </w:pPr>
      <w:r>
        <w:rPr>
          <w:rStyle w:val="FootnoteReference"/>
        </w:rPr>
        <w:footnoteRef/>
      </w:r>
      <w:r>
        <w:t xml:space="preserve"> Ibid., p. 33</w:t>
      </w:r>
    </w:p>
  </w:footnote>
  <w:footnote w:id="12">
    <w:p w:rsidR="00773CD7" w:rsidRDefault="00773CD7" w:rsidP="00773CD7">
      <w:pPr>
        <w:pStyle w:val="FootnoteText"/>
      </w:pPr>
      <w:r>
        <w:rPr>
          <w:rStyle w:val="FootnoteReference"/>
        </w:rPr>
        <w:footnoteRef/>
      </w:r>
      <w:r>
        <w:t xml:space="preserve"> Martin Buber, I and Thou, Translated by R. G. Smith, T&amp;T Clark Ltd., Edinburgh, 2</w:t>
      </w:r>
      <w:r w:rsidRPr="002E1E4F">
        <w:rPr>
          <w:vertAlign w:val="superscript"/>
        </w:rPr>
        <w:t>nd</w:t>
      </w:r>
      <w:r>
        <w:t xml:space="preserve"> edition, 1994, p. 169</w:t>
      </w:r>
    </w:p>
  </w:footnote>
  <w:footnote w:id="13">
    <w:p w:rsidR="00773CD7" w:rsidRDefault="00773CD7" w:rsidP="00773CD7">
      <w:pPr>
        <w:pStyle w:val="FootnoteText"/>
      </w:pPr>
      <w:r>
        <w:rPr>
          <w:rStyle w:val="FootnoteReference"/>
        </w:rPr>
        <w:footnoteRef/>
      </w:r>
      <w:r>
        <w:t xml:space="preserve"> Ludwig Feuerbach, </w:t>
      </w:r>
      <w:proofErr w:type="gramStart"/>
      <w:r>
        <w:t>The</w:t>
      </w:r>
      <w:proofErr w:type="gramEnd"/>
      <w:r>
        <w:t xml:space="preserve"> Essence of Christianity, Translated by George Eliot, Prometheus Books, Amherst, New York, p. 226.</w:t>
      </w:r>
    </w:p>
  </w:footnote>
  <w:footnote w:id="14">
    <w:p w:rsidR="00773CD7" w:rsidRDefault="00773CD7" w:rsidP="00773CD7">
      <w:pPr>
        <w:pStyle w:val="FootnoteText"/>
      </w:pPr>
      <w:r>
        <w:rPr>
          <w:rStyle w:val="FootnoteReference"/>
        </w:rPr>
        <w:footnoteRef/>
      </w:r>
      <w:r>
        <w:t xml:space="preserve"> </w:t>
      </w:r>
      <w:proofErr w:type="gramStart"/>
      <w:r>
        <w:t xml:space="preserve">Daniel F. Polish, Talking About God, </w:t>
      </w:r>
      <w:proofErr w:type="spellStart"/>
      <w:r>
        <w:t>SkyLight</w:t>
      </w:r>
      <w:proofErr w:type="spellEnd"/>
      <w:r>
        <w:t xml:space="preserve"> Paths Publishing, Woodstock, Vermont.</w:t>
      </w:r>
      <w:proofErr w:type="gramEnd"/>
      <w:r>
        <w:t xml:space="preserve"> </w:t>
      </w:r>
      <w:proofErr w:type="gramStart"/>
      <w:r>
        <w:t>2007, p. 66.</w:t>
      </w:r>
      <w:proofErr w:type="gramEnd"/>
    </w:p>
  </w:footnote>
  <w:footnote w:id="15">
    <w:p w:rsidR="00773CD7" w:rsidRDefault="00773CD7" w:rsidP="00773CD7">
      <w:pPr>
        <w:pStyle w:val="FootnoteText"/>
      </w:pPr>
      <w:r>
        <w:rPr>
          <w:rStyle w:val="FootnoteReference"/>
        </w:rPr>
        <w:footnoteRef/>
      </w:r>
      <w:r>
        <w:t xml:space="preserve"> Paul Tillich, Systematic Theology, Volume One, </w:t>
      </w:r>
      <w:proofErr w:type="gramStart"/>
      <w:r>
        <w:t>The</w:t>
      </w:r>
      <w:proofErr w:type="gramEnd"/>
      <w:r>
        <w:t xml:space="preserve"> University of Chicago Press, Chicago, 1973, p. 3. </w:t>
      </w:r>
    </w:p>
  </w:footnote>
  <w:footnote w:id="16">
    <w:p w:rsidR="00773CD7" w:rsidRDefault="00773CD7" w:rsidP="00773CD7">
      <w:pPr>
        <w:pStyle w:val="FootnoteText"/>
      </w:pPr>
      <w:r>
        <w:rPr>
          <w:rStyle w:val="FootnoteReference"/>
        </w:rPr>
        <w:footnoteRef/>
      </w:r>
      <w:r>
        <w:t xml:space="preserve"> </w:t>
      </w:r>
      <w:proofErr w:type="spellStart"/>
      <w:r>
        <w:t>Aliye</w:t>
      </w:r>
      <w:proofErr w:type="spellEnd"/>
      <w:r>
        <w:t xml:space="preserve"> </w:t>
      </w:r>
      <w:proofErr w:type="spellStart"/>
      <w:r>
        <w:t>Cinar</w:t>
      </w:r>
      <w:proofErr w:type="spellEnd"/>
      <w:r>
        <w:t xml:space="preserve">, </w:t>
      </w:r>
      <w:proofErr w:type="spellStart"/>
      <w:r>
        <w:t>Varoluscu</w:t>
      </w:r>
      <w:proofErr w:type="spellEnd"/>
      <w:r>
        <w:t xml:space="preserve"> </w:t>
      </w:r>
      <w:proofErr w:type="spellStart"/>
      <w:r>
        <w:t>Teoloji</w:t>
      </w:r>
      <w:proofErr w:type="spellEnd"/>
      <w:r>
        <w:t xml:space="preserve"> – Paul </w:t>
      </w:r>
      <w:proofErr w:type="spellStart"/>
      <w:r>
        <w:t>Tillich’te</w:t>
      </w:r>
      <w:proofErr w:type="spellEnd"/>
      <w:r>
        <w:t xml:space="preserve"> Din </w:t>
      </w:r>
      <w:proofErr w:type="spellStart"/>
      <w:r>
        <w:t>ve</w:t>
      </w:r>
      <w:proofErr w:type="spellEnd"/>
      <w:r>
        <w:t xml:space="preserve"> </w:t>
      </w:r>
      <w:proofErr w:type="spellStart"/>
      <w:r>
        <w:t>Sembol</w:t>
      </w:r>
      <w:proofErr w:type="spellEnd"/>
      <w:r>
        <w:t xml:space="preserve">, </w:t>
      </w:r>
      <w:proofErr w:type="spellStart"/>
      <w:r>
        <w:t>Iz</w:t>
      </w:r>
      <w:proofErr w:type="spellEnd"/>
      <w:r>
        <w:t xml:space="preserve"> </w:t>
      </w:r>
      <w:proofErr w:type="spellStart"/>
      <w:r>
        <w:t>yayincilik</w:t>
      </w:r>
      <w:proofErr w:type="spellEnd"/>
      <w:r>
        <w:t xml:space="preserve"> Limited </w:t>
      </w:r>
      <w:proofErr w:type="spellStart"/>
      <w:r>
        <w:t>Sirketi</w:t>
      </w:r>
      <w:proofErr w:type="spellEnd"/>
      <w:r>
        <w:t xml:space="preserve">, Istanbul, 2007, p.17. </w:t>
      </w:r>
    </w:p>
  </w:footnote>
  <w:footnote w:id="17">
    <w:p w:rsidR="00773CD7" w:rsidRDefault="00773CD7" w:rsidP="00773CD7">
      <w:pPr>
        <w:pStyle w:val="FootnoteText"/>
      </w:pPr>
      <w:r>
        <w:rPr>
          <w:rStyle w:val="FootnoteReference"/>
        </w:rPr>
        <w:footnoteRef/>
      </w:r>
      <w:r>
        <w:t xml:space="preserve"> The Essential Tillich, </w:t>
      </w:r>
      <w:proofErr w:type="gramStart"/>
      <w:r>
        <w:t>An</w:t>
      </w:r>
      <w:proofErr w:type="gramEnd"/>
      <w:r>
        <w:t xml:space="preserve"> Anthology of the Writings of Paul Tillich, Edited by F. Forester Church,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Press, 1999, p. 1. </w:t>
      </w:r>
    </w:p>
  </w:footnote>
  <w:footnote w:id="18">
    <w:p w:rsidR="00773CD7" w:rsidRDefault="00773CD7" w:rsidP="00773CD7">
      <w:pPr>
        <w:pStyle w:val="FootnoteText"/>
      </w:pPr>
      <w:r>
        <w:rPr>
          <w:rStyle w:val="FootnoteReference"/>
        </w:rPr>
        <w:footnoteRef/>
      </w:r>
      <w:r>
        <w:t xml:space="preserve"> </w:t>
      </w:r>
      <w:proofErr w:type="gramStart"/>
      <w:r>
        <w:t>Ibid.,</w:t>
      </w:r>
      <w:proofErr w:type="gramEnd"/>
      <w:r>
        <w:t xml:space="preserve"> p. 2. </w:t>
      </w:r>
    </w:p>
  </w:footnote>
  <w:footnote w:id="19">
    <w:p w:rsidR="00773CD7" w:rsidRDefault="00773CD7" w:rsidP="00773CD7">
      <w:pPr>
        <w:pStyle w:val="FootnoteText"/>
      </w:pPr>
      <w:r>
        <w:rPr>
          <w:rStyle w:val="FootnoteReference"/>
        </w:rPr>
        <w:footnoteRef/>
      </w:r>
      <w:r>
        <w:t xml:space="preserve"> </w:t>
      </w:r>
      <w:proofErr w:type="gramStart"/>
      <w:r>
        <w:t>Ibid.,</w:t>
      </w:r>
      <w:proofErr w:type="gramEnd"/>
      <w:r>
        <w:t xml:space="preserve"> p. 3. </w:t>
      </w:r>
    </w:p>
  </w:footnote>
  <w:footnote w:id="20">
    <w:p w:rsidR="00773CD7" w:rsidRDefault="00773CD7" w:rsidP="00773CD7">
      <w:pPr>
        <w:pStyle w:val="FootnoteText"/>
      </w:pPr>
      <w:r>
        <w:rPr>
          <w:rStyle w:val="FootnoteReference"/>
        </w:rPr>
        <w:footnoteRef/>
      </w:r>
      <w:r>
        <w:t xml:space="preserve"> </w:t>
      </w:r>
      <w:proofErr w:type="gramStart"/>
      <w:r>
        <w:t>Ibid.,</w:t>
      </w:r>
      <w:proofErr w:type="gramEnd"/>
      <w:r>
        <w:t xml:space="preserve"> p. 7. </w:t>
      </w:r>
    </w:p>
  </w:footnote>
  <w:footnote w:id="21">
    <w:p w:rsidR="00773CD7" w:rsidRDefault="00773CD7" w:rsidP="00773CD7">
      <w:pPr>
        <w:pStyle w:val="FootnoteText"/>
      </w:pPr>
      <w:r>
        <w:rPr>
          <w:rStyle w:val="FootnoteReference"/>
        </w:rPr>
        <w:footnoteRef/>
      </w:r>
      <w:r>
        <w:t xml:space="preserve"> Paul Tillich, </w:t>
      </w:r>
      <w:proofErr w:type="gramStart"/>
      <w:r>
        <w:t>The</w:t>
      </w:r>
      <w:proofErr w:type="gramEnd"/>
      <w:r>
        <w:t xml:space="preserve"> Courage To Be, Yale University Press, 2</w:t>
      </w:r>
      <w:r w:rsidRPr="00F27952">
        <w:rPr>
          <w:vertAlign w:val="superscript"/>
        </w:rPr>
        <w:t>nd</w:t>
      </w:r>
      <w:r>
        <w:t xml:space="preserve"> Ed. New Haven, 2000, p. 179. </w:t>
      </w:r>
    </w:p>
  </w:footnote>
  <w:footnote w:id="22">
    <w:p w:rsidR="00773CD7" w:rsidRDefault="00773CD7" w:rsidP="00773CD7">
      <w:pPr>
        <w:pStyle w:val="FootnoteText"/>
      </w:pPr>
      <w:r>
        <w:rPr>
          <w:rStyle w:val="FootnoteReference"/>
        </w:rPr>
        <w:footnoteRef/>
      </w:r>
      <w:r>
        <w:t xml:space="preserve"> Paul Tillich, Dynamics of Faith, Harper and Row Publishers, Perennial Classics Ed., New York, 2001, p. 48. </w:t>
      </w:r>
    </w:p>
  </w:footnote>
  <w:footnote w:id="23">
    <w:p w:rsidR="00773CD7" w:rsidRDefault="00773CD7" w:rsidP="00773CD7">
      <w:pPr>
        <w:pStyle w:val="FootnoteText"/>
      </w:pPr>
      <w:r>
        <w:rPr>
          <w:rStyle w:val="FootnoteReference"/>
        </w:rPr>
        <w:footnoteRef/>
      </w:r>
      <w:r>
        <w:t xml:space="preserve"> </w:t>
      </w:r>
      <w:proofErr w:type="gramStart"/>
      <w:r>
        <w:t>Ibid.,</w:t>
      </w:r>
      <w:proofErr w:type="gramEnd"/>
      <w:r>
        <w:t xml:space="preserve"> p.10. </w:t>
      </w:r>
    </w:p>
  </w:footnote>
  <w:footnote w:id="24">
    <w:p w:rsidR="00773CD7" w:rsidRDefault="00773CD7" w:rsidP="00773CD7">
      <w:pPr>
        <w:pStyle w:val="FootnoteText"/>
      </w:pPr>
      <w:r>
        <w:rPr>
          <w:rStyle w:val="FootnoteReference"/>
        </w:rPr>
        <w:footnoteRef/>
      </w:r>
      <w:r>
        <w:t xml:space="preserve"> </w:t>
      </w:r>
      <w:proofErr w:type="gramStart"/>
      <w:r>
        <w:t>Ibid.,</w:t>
      </w:r>
      <w:proofErr w:type="gramEnd"/>
      <w:r>
        <w:t xml:space="preserve"> p.21. </w:t>
      </w:r>
    </w:p>
  </w:footnote>
  <w:footnote w:id="25">
    <w:p w:rsidR="00773CD7" w:rsidRDefault="00773CD7" w:rsidP="00773CD7">
      <w:pPr>
        <w:pStyle w:val="FootnoteText"/>
      </w:pPr>
      <w:r>
        <w:rPr>
          <w:rStyle w:val="FootnoteReference"/>
        </w:rPr>
        <w:footnoteRef/>
      </w:r>
      <w:r>
        <w:t xml:space="preserve"> </w:t>
      </w:r>
      <w:proofErr w:type="gramStart"/>
      <w:r>
        <w:t>Ibid.,</w:t>
      </w:r>
      <w:proofErr w:type="gramEnd"/>
      <w:r>
        <w:t xml:space="preserve"> p.10. </w:t>
      </w:r>
    </w:p>
  </w:footnote>
  <w:footnote w:id="26">
    <w:p w:rsidR="00773CD7" w:rsidRDefault="00773CD7" w:rsidP="00773CD7">
      <w:pPr>
        <w:pStyle w:val="FootnoteText"/>
      </w:pPr>
      <w:r>
        <w:rPr>
          <w:rStyle w:val="FootnoteReference"/>
        </w:rPr>
        <w:footnoteRef/>
      </w:r>
      <w:r>
        <w:t xml:space="preserve"> Paul Tillich, Systematic Theology, Volume One, </w:t>
      </w:r>
      <w:proofErr w:type="gramStart"/>
      <w:r>
        <w:t>The</w:t>
      </w:r>
      <w:proofErr w:type="gramEnd"/>
      <w:r>
        <w:t xml:space="preserve"> University of Chicago Press, Chicago, 1973, p. 211. </w:t>
      </w:r>
    </w:p>
  </w:footnote>
  <w:footnote w:id="27">
    <w:p w:rsidR="00773CD7" w:rsidRDefault="00773CD7" w:rsidP="00773CD7">
      <w:pPr>
        <w:pStyle w:val="FootnoteText"/>
      </w:pPr>
      <w:r>
        <w:rPr>
          <w:rStyle w:val="FootnoteReference"/>
        </w:rPr>
        <w:footnoteRef/>
      </w:r>
      <w:r>
        <w:t xml:space="preserve"> Paul Tillich, Dynamics of Faith, Harper and Row Publishers, Perennial Classics Ed., New York, 2001, p. 4.</w:t>
      </w:r>
    </w:p>
  </w:footnote>
  <w:footnote w:id="28">
    <w:p w:rsidR="00773CD7" w:rsidRDefault="00773CD7" w:rsidP="00773CD7">
      <w:pPr>
        <w:pStyle w:val="FootnoteText"/>
      </w:pPr>
      <w:r>
        <w:rPr>
          <w:rStyle w:val="FootnoteReference"/>
        </w:rPr>
        <w:footnoteRef/>
      </w:r>
      <w:r>
        <w:t xml:space="preserve"> </w:t>
      </w:r>
      <w:proofErr w:type="gramStart"/>
      <w:r>
        <w:t>Ibid.,</w:t>
      </w:r>
      <w:proofErr w:type="gramEnd"/>
      <w:r>
        <w:t xml:space="preserve"> p. 7.</w:t>
      </w:r>
    </w:p>
  </w:footnote>
  <w:footnote w:id="29">
    <w:p w:rsidR="00773CD7" w:rsidRDefault="00773CD7" w:rsidP="00773CD7">
      <w:pPr>
        <w:pStyle w:val="FootnoteText"/>
      </w:pPr>
      <w:r>
        <w:rPr>
          <w:rStyle w:val="FootnoteReference"/>
        </w:rPr>
        <w:footnoteRef/>
      </w:r>
      <w:r>
        <w:t xml:space="preserve"> Paul Tillich, Systematic Theology, Volume One, </w:t>
      </w:r>
      <w:proofErr w:type="gramStart"/>
      <w:r>
        <w:t>The</w:t>
      </w:r>
      <w:proofErr w:type="gramEnd"/>
      <w:r>
        <w:t xml:space="preserve"> University of Chicago Press, Chicago, 1973, p. 221. </w:t>
      </w:r>
    </w:p>
  </w:footnote>
  <w:footnote w:id="30">
    <w:p w:rsidR="00773CD7" w:rsidRDefault="00773CD7" w:rsidP="00773CD7">
      <w:pPr>
        <w:pStyle w:val="FootnoteText"/>
      </w:pPr>
      <w:r>
        <w:rPr>
          <w:rStyle w:val="FootnoteReference"/>
        </w:rPr>
        <w:footnoteRef/>
      </w:r>
      <w:r>
        <w:t xml:space="preserve"> </w:t>
      </w:r>
      <w:proofErr w:type="gramStart"/>
      <w:r>
        <w:t>Ibid.,</w:t>
      </w:r>
      <w:proofErr w:type="gramEnd"/>
      <w:r>
        <w:t xml:space="preserve"> p. 228. </w:t>
      </w:r>
    </w:p>
  </w:footnote>
  <w:footnote w:id="31">
    <w:p w:rsidR="00773CD7" w:rsidRDefault="00773CD7" w:rsidP="00773CD7">
      <w:pPr>
        <w:pStyle w:val="FootnoteText"/>
      </w:pPr>
      <w:r>
        <w:rPr>
          <w:rStyle w:val="FootnoteReference"/>
        </w:rPr>
        <w:footnoteRef/>
      </w:r>
      <w:r>
        <w:t xml:space="preserve"> </w:t>
      </w:r>
      <w:proofErr w:type="gramStart"/>
      <w:r>
        <w:t xml:space="preserve">Daniel F. Polish, Talking About God, </w:t>
      </w:r>
      <w:proofErr w:type="spellStart"/>
      <w:r>
        <w:t>SkyLight</w:t>
      </w:r>
      <w:proofErr w:type="spellEnd"/>
      <w:r>
        <w:t xml:space="preserve"> Paths Publishing, Woodstock, Vermont.</w:t>
      </w:r>
      <w:proofErr w:type="gramEnd"/>
      <w:r>
        <w:t xml:space="preserve"> 2007, p. 91</w:t>
      </w:r>
    </w:p>
  </w:footnote>
  <w:footnote w:id="32">
    <w:p w:rsidR="00773CD7" w:rsidRDefault="00773CD7" w:rsidP="00773CD7">
      <w:pPr>
        <w:pStyle w:val="FootnoteText"/>
      </w:pPr>
      <w:r>
        <w:rPr>
          <w:rStyle w:val="FootnoteReference"/>
        </w:rPr>
        <w:footnoteRef/>
      </w:r>
      <w:r>
        <w:t xml:space="preserve"> Ludwig Feuerbach, </w:t>
      </w:r>
      <w:proofErr w:type="gramStart"/>
      <w:r>
        <w:t>The</w:t>
      </w:r>
      <w:proofErr w:type="gramEnd"/>
      <w:r>
        <w:t xml:space="preserve"> Essence of Christianity, Translated by George Eliot, Prometheus Books, Amherst, New York, p. 226.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useFELayout/>
  </w:compat>
  <w:rsids>
    <w:rsidRoot w:val="00773CD7"/>
    <w:rsid w:val="0018432C"/>
    <w:rsid w:val="002F7DBB"/>
    <w:rsid w:val="00773CD7"/>
    <w:rsid w:val="00980B79"/>
    <w:rsid w:val="00C616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CD7"/>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73CD7"/>
    <w:rPr>
      <w:i/>
      <w:iCs/>
    </w:rPr>
  </w:style>
  <w:style w:type="paragraph" w:styleId="FootnoteText">
    <w:name w:val="footnote text"/>
    <w:basedOn w:val="Normal"/>
    <w:link w:val="FootnoteTextChar"/>
    <w:semiHidden/>
    <w:rsid w:val="00773CD7"/>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773CD7"/>
    <w:rPr>
      <w:rFonts w:eastAsia="Times New Roman"/>
      <w:lang w:eastAsia="en-GB"/>
    </w:rPr>
  </w:style>
  <w:style w:type="character" w:styleId="FootnoteReference">
    <w:name w:val="footnote reference"/>
    <w:basedOn w:val="DefaultParagraphFont"/>
    <w:semiHidden/>
    <w:rsid w:val="00773CD7"/>
    <w:rPr>
      <w:vertAlign w:val="superscript"/>
    </w:rPr>
  </w:style>
  <w:style w:type="paragraph" w:styleId="Title">
    <w:name w:val="Title"/>
    <w:basedOn w:val="Normal"/>
    <w:next w:val="Normal"/>
    <w:link w:val="TitleChar"/>
    <w:uiPriority w:val="10"/>
    <w:qFormat/>
    <w:rsid w:val="00773C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3CD7"/>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6902</Words>
  <Characters>39344</Characters>
  <Application>Microsoft Office Word</Application>
  <DocSecurity>0</DocSecurity>
  <Lines>327</Lines>
  <Paragraphs>92</Paragraphs>
  <ScaleCrop>false</ScaleCrop>
  <Company>ITS</Company>
  <LinksUpToDate>false</LinksUpToDate>
  <CharactersWithSpaces>46154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npcsxpdev</dc:creator>
  <cp:keywords/>
  <dc:description/>
  <cp:lastModifiedBy>omer kuru</cp:lastModifiedBy>
  <cp:revision>2</cp:revision>
  <dcterms:created xsi:type="dcterms:W3CDTF">2008-09-26T11:41:00Z</dcterms:created>
  <dcterms:modified xsi:type="dcterms:W3CDTF">2010-10-28T13:30:00Z</dcterms:modified>
</cp:coreProperties>
</file>