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3B8E" w:rsidRPr="00941E99" w:rsidRDefault="009F3B8E" w:rsidP="009F3B8E">
      <w:pPr>
        <w:spacing w:after="0" w:line="360" w:lineRule="auto"/>
        <w:jc w:val="both"/>
        <w:rPr>
          <w:b/>
        </w:rPr>
      </w:pPr>
      <w:r w:rsidRPr="00941E99">
        <w:rPr>
          <w:b/>
        </w:rPr>
        <w:t xml:space="preserve">Said </w:t>
      </w:r>
      <w:proofErr w:type="spellStart"/>
      <w:r w:rsidRPr="00941E99">
        <w:rPr>
          <w:b/>
        </w:rPr>
        <w:t>Nursi</w:t>
      </w:r>
      <w:proofErr w:type="spellEnd"/>
      <w:r w:rsidRPr="00941E99">
        <w:rPr>
          <w:b/>
        </w:rPr>
        <w:t>, Prophetic Traditions, and Sociologically-informed Theology</w:t>
      </w:r>
    </w:p>
    <w:p w:rsidR="009F3B8E" w:rsidRPr="00941E99" w:rsidRDefault="009F3B8E" w:rsidP="009F3B8E">
      <w:pPr>
        <w:spacing w:after="0" w:line="360" w:lineRule="auto"/>
        <w:jc w:val="both"/>
      </w:pPr>
    </w:p>
    <w:p w:rsidR="009F3B8E" w:rsidRPr="00941E99" w:rsidRDefault="009F3B8E" w:rsidP="009F3B8E">
      <w:pPr>
        <w:spacing w:after="0" w:line="360" w:lineRule="auto"/>
        <w:jc w:val="both"/>
        <w:rPr>
          <w:b/>
        </w:rPr>
      </w:pPr>
      <w:r w:rsidRPr="00941E99">
        <w:rPr>
          <w:b/>
        </w:rPr>
        <w:t>Introduction</w:t>
      </w:r>
    </w:p>
    <w:p w:rsidR="009F3B8E" w:rsidRPr="00941E99" w:rsidRDefault="009F3B8E" w:rsidP="009F3B8E">
      <w:pPr>
        <w:spacing w:after="0" w:line="360" w:lineRule="auto"/>
        <w:jc w:val="both"/>
        <w:rPr>
          <w:b/>
        </w:rPr>
      </w:pPr>
    </w:p>
    <w:p w:rsidR="009F3B8E" w:rsidRPr="00941E99" w:rsidRDefault="009F3B8E" w:rsidP="009F3B8E">
      <w:pPr>
        <w:spacing w:after="0" w:line="360" w:lineRule="auto"/>
        <w:jc w:val="both"/>
      </w:pPr>
      <w:r w:rsidRPr="00941E99">
        <w:t xml:space="preserve">Critical theologians have oftentimes – either explicitly or implicitly – alluded to their specific social context. Theological discussions similarly hinge on the inadequacies of various theological standpoints in responding to the existing social context – either because they are seen to be products of certain social factors or result in negative social consequences. More importantly, highlighting the significance of social context, determinants, and significance are all distinctively sociological concerns. This shows utilization of approaches considerably sociological within theological discourse. While there </w:t>
      </w:r>
      <w:proofErr w:type="gramStart"/>
      <w:r w:rsidRPr="00941E99">
        <w:t>exist</w:t>
      </w:r>
      <w:proofErr w:type="gramEnd"/>
      <w:r w:rsidRPr="00941E99">
        <w:t xml:space="preserve"> other philosophical and historical methods to help enrich theological discussions, Gill notes “what theologians have seldom done is to use these approaches systematically or with any reference to the obvious fund of scholarship provided by the discipline of sociology itself.”</w:t>
      </w:r>
      <w:r w:rsidRPr="00941E99">
        <w:rPr>
          <w:rStyle w:val="FootnoteReference"/>
        </w:rPr>
        <w:footnoteReference w:id="1"/>
      </w:r>
      <w:r w:rsidRPr="00941E99">
        <w:t xml:space="preserve"> </w:t>
      </w:r>
    </w:p>
    <w:p w:rsidR="009F3B8E" w:rsidRPr="00941E99" w:rsidRDefault="009F3B8E" w:rsidP="009F3B8E">
      <w:pPr>
        <w:spacing w:after="0" w:line="360" w:lineRule="auto"/>
        <w:jc w:val="both"/>
      </w:pPr>
    </w:p>
    <w:p w:rsidR="009F3B8E" w:rsidRPr="00941E99" w:rsidRDefault="009F3B8E" w:rsidP="009F3B8E">
      <w:pPr>
        <w:spacing w:after="0" w:line="360" w:lineRule="auto"/>
        <w:jc w:val="both"/>
      </w:pPr>
      <w:r w:rsidRPr="00941E99">
        <w:t>More than just “a critical reflection of societal problems, developing rational arguments with reference to contemporary social realities”,</w:t>
      </w:r>
      <w:r w:rsidRPr="00941E99">
        <w:rPr>
          <w:rStyle w:val="FootnoteReference"/>
        </w:rPr>
        <w:footnoteReference w:id="2"/>
      </w:r>
      <w:r w:rsidRPr="00941E99">
        <w:t xml:space="preserve"> the paper posits </w:t>
      </w:r>
      <w:proofErr w:type="spellStart"/>
      <w:r w:rsidRPr="00941E99">
        <w:t>Bediuzzaman</w:t>
      </w:r>
      <w:proofErr w:type="spellEnd"/>
      <w:r w:rsidRPr="00941E99">
        <w:t xml:space="preserve"> Said </w:t>
      </w:r>
      <w:proofErr w:type="spellStart"/>
      <w:r w:rsidRPr="00941E99">
        <w:t>Nursi’s</w:t>
      </w:r>
      <w:proofErr w:type="spellEnd"/>
      <w:r w:rsidRPr="00941E99">
        <w:t xml:space="preserve"> reflections to be sociologically complex. This showcases his commitment in producing theological notions that reflect Islamic teachings in tandem with changing realities. </w:t>
      </w:r>
      <w:proofErr w:type="spellStart"/>
      <w:r w:rsidRPr="00941E99">
        <w:t>Nursi’s</w:t>
      </w:r>
      <w:proofErr w:type="spellEnd"/>
      <w:r w:rsidRPr="00941E99">
        <w:t xml:space="preserve"> use of sociological approaches affirms the validity of his theological views. To be clear, it is not the Quran’s universal truth that the paper seeks to deny, rather the need to examine particular theological stances. </w:t>
      </w:r>
    </w:p>
    <w:p w:rsidR="009F3B8E" w:rsidRPr="00941E99" w:rsidRDefault="009F3B8E" w:rsidP="009F3B8E">
      <w:pPr>
        <w:spacing w:after="0" w:line="360" w:lineRule="auto"/>
        <w:jc w:val="both"/>
      </w:pPr>
    </w:p>
    <w:p w:rsidR="009F3B8E" w:rsidRPr="00941E99" w:rsidRDefault="009F3B8E" w:rsidP="009F3B8E">
      <w:pPr>
        <w:spacing w:after="0" w:line="360" w:lineRule="auto"/>
        <w:jc w:val="both"/>
      </w:pPr>
      <w:r w:rsidRPr="00941E99">
        <w:t>Unfortunately despite various discussions on the advantages of dialogue between sociology and theology,</w:t>
      </w:r>
      <w:r w:rsidRPr="00941E99">
        <w:rPr>
          <w:rStyle w:val="FootnoteReference"/>
        </w:rPr>
        <w:footnoteReference w:id="3"/>
      </w:r>
      <w:r w:rsidRPr="00941E99">
        <w:t xml:space="preserve"> the fear that a belief will be distorted – if it is in part sociologically determined – is still prevalent. There are others who view ‘true’ theology as ‘timeless truths’, having the ability to ignore the social context. However, prophets themselves have not done so in the past. As such, </w:t>
      </w:r>
      <w:proofErr w:type="spellStart"/>
      <w:r w:rsidRPr="00941E99">
        <w:t>Nursi</w:t>
      </w:r>
      <w:proofErr w:type="spellEnd"/>
      <w:r w:rsidRPr="00941E99">
        <w:t xml:space="preserve"> arguably was adhering to the prophetic traditions of producing sociologically informed theology, which makes for more relevant theology and a progressive society. </w:t>
      </w:r>
    </w:p>
    <w:p w:rsidR="009F3B8E" w:rsidRPr="00941E99" w:rsidRDefault="009F3B8E" w:rsidP="009F3B8E">
      <w:pPr>
        <w:spacing w:after="0" w:line="360" w:lineRule="auto"/>
        <w:jc w:val="both"/>
      </w:pPr>
    </w:p>
    <w:p w:rsidR="009F3B8E" w:rsidRPr="00941E99" w:rsidRDefault="009F3B8E" w:rsidP="009F3B8E">
      <w:pPr>
        <w:spacing w:after="0" w:line="360" w:lineRule="auto"/>
        <w:jc w:val="both"/>
      </w:pPr>
      <w:r w:rsidRPr="00941E99">
        <w:t xml:space="preserve">While there have been earlier discussions of </w:t>
      </w:r>
      <w:proofErr w:type="spellStart"/>
      <w:r w:rsidRPr="00941E99">
        <w:t>Nursi</w:t>
      </w:r>
      <w:proofErr w:type="spellEnd"/>
      <w:r w:rsidRPr="00941E99">
        <w:t xml:space="preserve"> employing sociological facts,</w:t>
      </w:r>
      <w:r w:rsidRPr="00941E99">
        <w:rPr>
          <w:rStyle w:val="FootnoteReference"/>
        </w:rPr>
        <w:footnoteReference w:id="4"/>
      </w:r>
      <w:r w:rsidRPr="00941E99">
        <w:t xml:space="preserve"> “his ideas have yet to be presented in a systematic manner, delineating both his methodological framework, as well as </w:t>
      </w:r>
      <w:r w:rsidRPr="00941E99">
        <w:lastRenderedPageBreak/>
        <w:t>his substantive concerns with the problem of the individual and society.”</w:t>
      </w:r>
      <w:r w:rsidRPr="00941E99">
        <w:rPr>
          <w:rStyle w:val="FootnoteReference"/>
        </w:rPr>
        <w:footnoteReference w:id="5"/>
      </w:r>
      <w:r w:rsidRPr="00941E99">
        <w:t xml:space="preserve"> The paper thus represents a modest attempt in detailing his sociological thinking – examining how </w:t>
      </w:r>
      <w:proofErr w:type="spellStart"/>
      <w:r w:rsidRPr="00941E99">
        <w:t>Nursi</w:t>
      </w:r>
      <w:proofErr w:type="spellEnd"/>
      <w:r w:rsidRPr="00941E99">
        <w:t xml:space="preserve"> derived his theological positions on subject matters ranging from pluralism to secular state. Following Robin Gill’s framework which examines (1) the social context, (2) the social determinants, and (3) the social significance of theology, these three sociological approaches taken together will provide a relatively unexplored academic means of examining the sociological underpinnings of the </w:t>
      </w:r>
      <w:proofErr w:type="spellStart"/>
      <w:r w:rsidRPr="00941E99">
        <w:t>Risale-i</w:t>
      </w:r>
      <w:proofErr w:type="spellEnd"/>
      <w:r w:rsidRPr="00941E99">
        <w:t xml:space="preserve"> </w:t>
      </w:r>
      <w:proofErr w:type="spellStart"/>
      <w:r w:rsidRPr="00941E99">
        <w:t>Nur</w:t>
      </w:r>
      <w:proofErr w:type="spellEnd"/>
      <w:r w:rsidRPr="00941E99">
        <w:t xml:space="preserve">. Starting with a discussion of each sociological approach, the paper identifies various social issues to which </w:t>
      </w:r>
      <w:proofErr w:type="spellStart"/>
      <w:r w:rsidRPr="00941E99">
        <w:t>Nursi</w:t>
      </w:r>
      <w:proofErr w:type="spellEnd"/>
      <w:r w:rsidRPr="00941E99">
        <w:t xml:space="preserve"> applies the respective approaches. </w:t>
      </w:r>
    </w:p>
    <w:p w:rsidR="009F3B8E" w:rsidRPr="00941E99" w:rsidRDefault="009F3B8E" w:rsidP="009F3B8E">
      <w:pPr>
        <w:spacing w:after="0" w:line="360" w:lineRule="auto"/>
        <w:jc w:val="both"/>
      </w:pPr>
    </w:p>
    <w:p w:rsidR="009F3B8E" w:rsidRPr="00941E99" w:rsidRDefault="009F3B8E" w:rsidP="009F3B8E">
      <w:pPr>
        <w:spacing w:after="0" w:line="360" w:lineRule="auto"/>
        <w:jc w:val="both"/>
      </w:pPr>
      <w:r w:rsidRPr="00941E99">
        <w:t xml:space="preserve">In order to understand his theological views within the </w:t>
      </w:r>
      <w:proofErr w:type="spellStart"/>
      <w:r w:rsidRPr="00941E99">
        <w:t>Risale</w:t>
      </w:r>
      <w:proofErr w:type="spellEnd"/>
      <w:r w:rsidRPr="00941E99">
        <w:t xml:space="preserve">, the paper will examine his works thematically, according to these select issues. The </w:t>
      </w:r>
      <w:proofErr w:type="spellStart"/>
      <w:r w:rsidRPr="00941E99">
        <w:t>Risale</w:t>
      </w:r>
      <w:proofErr w:type="spellEnd"/>
      <w:r w:rsidRPr="00941E99">
        <w:t xml:space="preserve"> covers almost all Islamic doctrines and creeds but is absent of logical order and structured in a didactic fashion. And the reason for the form is because </w:t>
      </w:r>
      <w:proofErr w:type="spellStart"/>
      <w:r w:rsidRPr="00941E99">
        <w:t>Nursi’s</w:t>
      </w:r>
      <w:proofErr w:type="spellEnd"/>
      <w:r w:rsidRPr="00941E99">
        <w:t xml:space="preserve"> main concern was not to offer a purely theological discussion. Rather, the </w:t>
      </w:r>
      <w:proofErr w:type="spellStart"/>
      <w:r w:rsidRPr="00941E99">
        <w:t>Risale</w:t>
      </w:r>
      <w:proofErr w:type="spellEnd"/>
      <w:r w:rsidRPr="00941E99">
        <w:t xml:space="preserve"> was aimed as an intellectual instrument – to be acted discussed and acted upon – “infusing the reader with a spirituality that would reach both the reader’s reason and heart…[towards] a reinvigorated Islam, especially under the siege conditions of republican Turkey.”</w:t>
      </w:r>
      <w:r w:rsidRPr="00941E99">
        <w:rPr>
          <w:rStyle w:val="FootnoteReference"/>
        </w:rPr>
        <w:footnoteReference w:id="6"/>
      </w:r>
      <w:r w:rsidRPr="00941E99">
        <w:t xml:space="preserve"> </w:t>
      </w:r>
    </w:p>
    <w:p w:rsidR="009F3B8E" w:rsidRPr="00941E99" w:rsidRDefault="009F3B8E" w:rsidP="009F3B8E">
      <w:pPr>
        <w:spacing w:after="0" w:line="360" w:lineRule="auto"/>
        <w:jc w:val="both"/>
      </w:pPr>
    </w:p>
    <w:p w:rsidR="009F3B8E" w:rsidRPr="00941E99" w:rsidRDefault="009F3B8E" w:rsidP="009F3B8E">
      <w:pPr>
        <w:spacing w:after="0" w:line="360" w:lineRule="auto"/>
        <w:jc w:val="both"/>
      </w:pPr>
      <w:r w:rsidRPr="00941E99">
        <w:t>Alatas notes that although “</w:t>
      </w:r>
      <w:proofErr w:type="spellStart"/>
      <w:r w:rsidRPr="00941E99">
        <w:t>Nursi</w:t>
      </w:r>
      <w:proofErr w:type="spellEnd"/>
      <w:r w:rsidRPr="00941E99">
        <w:t xml:space="preserve"> was not a </w:t>
      </w:r>
      <w:proofErr w:type="spellStart"/>
      <w:r w:rsidRPr="00941E99">
        <w:t>mutakallim</w:t>
      </w:r>
      <w:proofErr w:type="spellEnd"/>
      <w:r w:rsidRPr="00941E99">
        <w:t xml:space="preserve"> (theologian) in the classical sense of the term, he was very much concerned with the relevance of theology for the social life of humans”.</w:t>
      </w:r>
      <w:r w:rsidRPr="00941E99">
        <w:rPr>
          <w:rStyle w:val="FootnoteReference"/>
        </w:rPr>
        <w:footnoteReference w:id="7"/>
      </w:r>
      <w:r w:rsidRPr="00941E99">
        <w:t xml:space="preserve"> In that same vein, the paper demonstrates that because </w:t>
      </w:r>
      <w:proofErr w:type="spellStart"/>
      <w:r w:rsidRPr="00941E99">
        <w:t>Nursi</w:t>
      </w:r>
      <w:proofErr w:type="spellEnd"/>
      <w:r w:rsidRPr="00941E99">
        <w:t xml:space="preserve"> successfully reformulated the relevance of Islamic doctrines in light of everyday issues of Turkish Muslims such as secularism and irreligion, it rendered his discussion of religion more than just theological – grounded and more colourful. Herein </w:t>
      </w:r>
      <w:proofErr w:type="gramStart"/>
      <w:r w:rsidRPr="00941E99">
        <w:t>lies</w:t>
      </w:r>
      <w:proofErr w:type="gramEnd"/>
      <w:r w:rsidRPr="00941E99">
        <w:t xml:space="preserve"> the focus of the paper – to illustrate how </w:t>
      </w:r>
      <w:proofErr w:type="spellStart"/>
      <w:r w:rsidRPr="00941E99">
        <w:t>Nursi</w:t>
      </w:r>
      <w:proofErr w:type="spellEnd"/>
      <w:r w:rsidRPr="00941E99">
        <w:t xml:space="preserve"> made the </w:t>
      </w:r>
      <w:proofErr w:type="spellStart"/>
      <w:r w:rsidRPr="00941E99">
        <w:t>Risale-i</w:t>
      </w:r>
      <w:proofErr w:type="spellEnd"/>
      <w:r w:rsidRPr="00941E99">
        <w:t xml:space="preserve"> </w:t>
      </w:r>
      <w:proofErr w:type="spellStart"/>
      <w:r w:rsidRPr="00941E99">
        <w:t>Nur</w:t>
      </w:r>
      <w:proofErr w:type="spellEnd"/>
      <w:r w:rsidRPr="00941E99">
        <w:t xml:space="preserve"> relevant for the social life of humans using the three sociological approaches. </w:t>
      </w:r>
    </w:p>
    <w:p w:rsidR="009F3B8E" w:rsidRPr="00941E99" w:rsidRDefault="009F3B8E" w:rsidP="009F3B8E">
      <w:pPr>
        <w:spacing w:after="0" w:line="360" w:lineRule="auto"/>
        <w:jc w:val="both"/>
      </w:pPr>
    </w:p>
    <w:p w:rsidR="009F3B8E" w:rsidRPr="00941E99" w:rsidRDefault="009F3B8E" w:rsidP="009F3B8E">
      <w:pPr>
        <w:spacing w:after="0" w:line="360" w:lineRule="auto"/>
        <w:jc w:val="both"/>
        <w:rPr>
          <w:b/>
        </w:rPr>
      </w:pPr>
      <w:r w:rsidRPr="00941E99">
        <w:rPr>
          <w:b/>
        </w:rPr>
        <w:t xml:space="preserve">First Approach: Study of Theology’s Social Context </w:t>
      </w:r>
    </w:p>
    <w:p w:rsidR="009F3B8E" w:rsidRPr="00941E99" w:rsidRDefault="009F3B8E" w:rsidP="009F3B8E">
      <w:pPr>
        <w:spacing w:after="0" w:line="360" w:lineRule="auto"/>
        <w:jc w:val="both"/>
        <w:rPr>
          <w:b/>
        </w:rPr>
      </w:pPr>
    </w:p>
    <w:p w:rsidR="009F3B8E" w:rsidRPr="00941E99" w:rsidRDefault="009F3B8E" w:rsidP="009F3B8E">
      <w:pPr>
        <w:spacing w:after="0" w:line="360" w:lineRule="auto"/>
        <w:ind w:left="567" w:right="567"/>
        <w:jc w:val="both"/>
      </w:pPr>
      <w:r w:rsidRPr="00941E99">
        <w:t xml:space="preserve">This approach depends upon the assumption that theology does not work in a vacuum, but that theologians tend to make claims about the society or culture within which they operate and then incorporate these claims into their theology. Precisely, because the </w:t>
      </w:r>
      <w:r w:rsidRPr="00941E99">
        <w:lastRenderedPageBreak/>
        <w:t>theologian is concerned to communicate with his contemporaries, he is obliged to respond (sometimes critically) to contemporary plausibility structures.</w:t>
      </w:r>
      <w:r w:rsidRPr="00941E99">
        <w:rPr>
          <w:rStyle w:val="FootnoteReference"/>
        </w:rPr>
        <w:footnoteReference w:id="8"/>
      </w:r>
      <w:r w:rsidRPr="00941E99">
        <w:t xml:space="preserve"> </w:t>
      </w:r>
    </w:p>
    <w:p w:rsidR="009F3B8E" w:rsidRPr="00941E99" w:rsidRDefault="009F3B8E" w:rsidP="009F3B8E">
      <w:pPr>
        <w:spacing w:after="0" w:line="360" w:lineRule="auto"/>
        <w:ind w:left="567" w:right="567"/>
        <w:jc w:val="both"/>
      </w:pPr>
    </w:p>
    <w:p w:rsidR="009F3B8E" w:rsidRPr="00941E99" w:rsidRDefault="009F3B8E" w:rsidP="009F3B8E">
      <w:pPr>
        <w:spacing w:after="0" w:line="360" w:lineRule="auto"/>
        <w:jc w:val="both"/>
      </w:pPr>
      <w:proofErr w:type="spellStart"/>
      <w:r w:rsidRPr="00941E99">
        <w:t>Nursi’s</w:t>
      </w:r>
      <w:proofErr w:type="spellEnd"/>
      <w:r w:rsidRPr="00941E99">
        <w:t xml:space="preserve"> sociological approach provided him perceptive tools for him to (1) reflect on the significance of social context in earlier theological interpretations; (2) so as to understand better the changing social context within which he operated; (3) in the bid to produce relevant theological interpretations. The principle concern in theology has been how to best interpret the concept of purity of belief with respect to the current challenges of human need. For </w:t>
      </w:r>
      <w:proofErr w:type="spellStart"/>
      <w:r w:rsidRPr="00941E99">
        <w:t>Nursi</w:t>
      </w:r>
      <w:proofErr w:type="spellEnd"/>
      <w:r w:rsidRPr="00941E99">
        <w:t xml:space="preserve">, this was a real concern in the face of widespread claims in religion’s demise by leading scholars that included </w:t>
      </w:r>
      <w:proofErr w:type="spellStart"/>
      <w:r w:rsidRPr="00941E99">
        <w:t>Auguste</w:t>
      </w:r>
      <w:proofErr w:type="spellEnd"/>
      <w:r w:rsidRPr="00941E99">
        <w:t xml:space="preserve"> Comte, Sigmund Freud, and Emile Durkheim. </w:t>
      </w:r>
      <w:proofErr w:type="spellStart"/>
      <w:r w:rsidRPr="00941E99">
        <w:t>Nursi</w:t>
      </w:r>
      <w:proofErr w:type="spellEnd"/>
      <w:r w:rsidRPr="00941E99">
        <w:t xml:space="preserve"> thus needed to be “a modern scholar deeply engaged in the revitalisation of Islamic thought in modern Ottoman/Turkish society, with perhaps a greater acquaintance with social philosophy and theology compared to others.”</w:t>
      </w:r>
      <w:r w:rsidRPr="00941E99">
        <w:rPr>
          <w:rStyle w:val="FootnoteReference"/>
        </w:rPr>
        <w:footnoteReference w:id="9"/>
      </w:r>
      <w:r w:rsidRPr="00941E99">
        <w:t xml:space="preserve"> In this first section, we explore </w:t>
      </w:r>
      <w:proofErr w:type="spellStart"/>
      <w:r w:rsidRPr="00941E99">
        <w:t>Nursi’s</w:t>
      </w:r>
      <w:proofErr w:type="spellEnd"/>
      <w:r w:rsidRPr="00941E99">
        <w:t xml:space="preserve"> interpretation of purity of belief in relation to the first approach. This would in turn reveal other fundamentalist responses to the waning belief as sociologically bankrupt solutions.</w:t>
      </w:r>
    </w:p>
    <w:p w:rsidR="009F3B8E" w:rsidRPr="00941E99" w:rsidRDefault="009F3B8E" w:rsidP="009F3B8E">
      <w:pPr>
        <w:spacing w:after="0" w:line="360" w:lineRule="auto"/>
        <w:jc w:val="both"/>
      </w:pPr>
    </w:p>
    <w:p w:rsidR="009F3B8E" w:rsidRPr="00941E99" w:rsidRDefault="009F3B8E" w:rsidP="009F3B8E">
      <w:pPr>
        <w:spacing w:after="0" w:line="360" w:lineRule="auto"/>
        <w:jc w:val="both"/>
        <w:rPr>
          <w:i/>
        </w:rPr>
      </w:pPr>
      <w:r w:rsidRPr="00941E99">
        <w:rPr>
          <w:i/>
        </w:rPr>
        <w:t>Inclusively Plural</w:t>
      </w:r>
    </w:p>
    <w:p w:rsidR="009F3B8E" w:rsidRPr="00941E99" w:rsidRDefault="009F3B8E" w:rsidP="009F3B8E">
      <w:pPr>
        <w:spacing w:after="0" w:line="360" w:lineRule="auto"/>
        <w:jc w:val="both"/>
      </w:pPr>
    </w:p>
    <w:p w:rsidR="009F3B8E" w:rsidRPr="00941E99" w:rsidRDefault="009F3B8E" w:rsidP="009F3B8E">
      <w:pPr>
        <w:spacing w:after="0" w:line="360" w:lineRule="auto"/>
        <w:jc w:val="both"/>
      </w:pPr>
      <w:r w:rsidRPr="00941E99">
        <w:t xml:space="preserve">Instead of espousing religious exclusivism, based on the assumption that Islam alone possesses the true revelation from God, </w:t>
      </w:r>
      <w:proofErr w:type="spellStart"/>
      <w:r w:rsidRPr="00941E99">
        <w:t>Nursi</w:t>
      </w:r>
      <w:proofErr w:type="spellEnd"/>
      <w:r w:rsidRPr="00941E99">
        <w:t xml:space="preserve"> understood that to maintain belief in religion, it was important for Islam not to be tied or translated to oneness in interpretation. This was to allow socio-historically contingent responses for different places and time. He further added that time-spatial difference might not even exist for ‘truth’ – in the form of sacred laws and prophets – as “there were even different prophets and laws in the same continent in the same century.”</w:t>
      </w:r>
      <w:r w:rsidRPr="00941E99">
        <w:rPr>
          <w:rStyle w:val="FootnoteReference"/>
        </w:rPr>
        <w:footnoteReference w:id="10"/>
      </w:r>
      <w:r w:rsidRPr="00941E99">
        <w:t xml:space="preserve"> </w:t>
      </w:r>
      <w:proofErr w:type="spellStart"/>
      <w:r w:rsidRPr="00941E99">
        <w:t>Nursi</w:t>
      </w:r>
      <w:proofErr w:type="spellEnd"/>
      <w:r w:rsidRPr="00941E99">
        <w:t xml:space="preserve"> suggested continuing the liberating tradition of religious pluralism by comparing the different social milieus, describing the increasing religious diversity as a de facto feature and social fact of modern society:</w:t>
      </w:r>
    </w:p>
    <w:p w:rsidR="009F3B8E" w:rsidRPr="00941E99" w:rsidRDefault="009F3B8E" w:rsidP="009F3B8E">
      <w:pPr>
        <w:spacing w:after="0" w:line="360" w:lineRule="auto"/>
        <w:jc w:val="both"/>
      </w:pPr>
    </w:p>
    <w:p w:rsidR="009F3B8E" w:rsidRPr="00941E99" w:rsidRDefault="009F3B8E" w:rsidP="009F3B8E">
      <w:pPr>
        <w:spacing w:after="0" w:line="360" w:lineRule="auto"/>
        <w:ind w:left="567" w:right="567"/>
        <w:jc w:val="both"/>
      </w:pPr>
      <w:r w:rsidRPr="00941E99">
        <w:t xml:space="preserve">Since with the coming of the Prophet of the end of time, man as though advanced from the primary to the secondary stage, and through numerous revolutions and upheavals reached a position at which </w:t>
      </w:r>
      <w:r w:rsidRPr="00941E99">
        <w:rPr>
          <w:rStyle w:val="highlight"/>
        </w:rPr>
        <w:t>all</w:t>
      </w:r>
      <w:r w:rsidRPr="00941E99">
        <w:t xml:space="preserve"> the human </w:t>
      </w:r>
      <w:r w:rsidRPr="00941E99">
        <w:rPr>
          <w:rStyle w:val="highlight"/>
        </w:rPr>
        <w:t>peoples</w:t>
      </w:r>
      <w:r w:rsidRPr="00941E99">
        <w:t xml:space="preserve"> could receive a single lesson and listen to a single teacher and act in accordance with a single </w:t>
      </w:r>
      <w:r w:rsidRPr="00941E99">
        <w:rPr>
          <w:rStyle w:val="highlight"/>
        </w:rPr>
        <w:t>law</w:t>
      </w:r>
      <w:r w:rsidRPr="00941E99">
        <w:t xml:space="preserve">, no </w:t>
      </w:r>
      <w:r w:rsidRPr="00941E99">
        <w:rPr>
          <w:rStyle w:val="highlight"/>
        </w:rPr>
        <w:t>need</w:t>
      </w:r>
      <w:r w:rsidRPr="00941E99">
        <w:t xml:space="preserve"> remained for </w:t>
      </w:r>
      <w:r w:rsidRPr="00941E99">
        <w:rPr>
          <w:rStyle w:val="highlight"/>
        </w:rPr>
        <w:t>different</w:t>
      </w:r>
      <w:r w:rsidRPr="00941E99">
        <w:t xml:space="preserve"> </w:t>
      </w:r>
      <w:r w:rsidRPr="00941E99">
        <w:rPr>
          <w:rStyle w:val="highlight"/>
        </w:rPr>
        <w:t>laws</w:t>
      </w:r>
      <w:r w:rsidRPr="00941E99">
        <w:t xml:space="preserve">, neither was there necessity for </w:t>
      </w:r>
      <w:r w:rsidRPr="00941E99">
        <w:rPr>
          <w:rStyle w:val="highlight"/>
        </w:rPr>
        <w:t>different</w:t>
      </w:r>
      <w:r w:rsidRPr="00941E99">
        <w:t xml:space="preserve"> </w:t>
      </w:r>
      <w:r w:rsidRPr="00941E99">
        <w:rPr>
          <w:rStyle w:val="highlight"/>
        </w:rPr>
        <w:t>teachers.</w:t>
      </w:r>
      <w:r w:rsidRPr="00941E99">
        <w:t xml:space="preserve"> But </w:t>
      </w:r>
      <w:r w:rsidRPr="00941E99">
        <w:rPr>
          <w:rStyle w:val="highlight"/>
        </w:rPr>
        <w:t>because</w:t>
      </w:r>
      <w:r w:rsidRPr="00941E99">
        <w:t xml:space="preserve"> they </w:t>
      </w:r>
      <w:r w:rsidRPr="00941E99">
        <w:lastRenderedPageBreak/>
        <w:t xml:space="preserve">were not </w:t>
      </w:r>
      <w:r w:rsidRPr="00941E99">
        <w:rPr>
          <w:rStyle w:val="highlight"/>
        </w:rPr>
        <w:t>all</w:t>
      </w:r>
      <w:r w:rsidRPr="00941E99">
        <w:t xml:space="preserve"> at completely the </w:t>
      </w:r>
      <w:r w:rsidRPr="00941E99">
        <w:rPr>
          <w:rStyle w:val="highlight"/>
        </w:rPr>
        <w:t>same</w:t>
      </w:r>
      <w:r w:rsidRPr="00941E99">
        <w:t xml:space="preserve"> </w:t>
      </w:r>
      <w:r w:rsidRPr="00941E99">
        <w:rPr>
          <w:rStyle w:val="highlight"/>
        </w:rPr>
        <w:t>level</w:t>
      </w:r>
      <w:r w:rsidRPr="00941E99">
        <w:t xml:space="preserve"> and did not proceed in the </w:t>
      </w:r>
      <w:r w:rsidRPr="00941E99">
        <w:rPr>
          <w:rStyle w:val="highlight"/>
        </w:rPr>
        <w:t>same</w:t>
      </w:r>
      <w:r w:rsidRPr="00941E99">
        <w:t xml:space="preserve"> sort of social life, the </w:t>
      </w:r>
      <w:r w:rsidRPr="00941E99">
        <w:rPr>
          <w:rStyle w:val="highlight"/>
        </w:rPr>
        <w:t>schools</w:t>
      </w:r>
      <w:r w:rsidRPr="00941E99">
        <w:t xml:space="preserve"> of </w:t>
      </w:r>
      <w:r w:rsidRPr="00941E99">
        <w:rPr>
          <w:rStyle w:val="highlight"/>
        </w:rPr>
        <w:t>law</w:t>
      </w:r>
      <w:r w:rsidRPr="00941E99">
        <w:t xml:space="preserve"> became </w:t>
      </w:r>
      <w:r w:rsidRPr="00941E99">
        <w:rPr>
          <w:rStyle w:val="highlight"/>
        </w:rPr>
        <w:t>numerous.</w:t>
      </w:r>
      <w:r w:rsidRPr="00941E99">
        <w:t xml:space="preserve"> If, like students of a </w:t>
      </w:r>
      <w:r w:rsidRPr="00941E99">
        <w:rPr>
          <w:rStyle w:val="highlight"/>
        </w:rPr>
        <w:t>school</w:t>
      </w:r>
      <w:r w:rsidRPr="00941E99">
        <w:t xml:space="preserve"> of higher education, the vast majority of mankind were clothed in the </w:t>
      </w:r>
      <w:r w:rsidRPr="00941E99">
        <w:rPr>
          <w:rStyle w:val="highlight"/>
        </w:rPr>
        <w:t>same</w:t>
      </w:r>
      <w:r w:rsidRPr="00941E99">
        <w:t xml:space="preserve"> sort of social life and attained the </w:t>
      </w:r>
      <w:r w:rsidRPr="00941E99">
        <w:rPr>
          <w:rStyle w:val="highlight"/>
        </w:rPr>
        <w:t>same</w:t>
      </w:r>
      <w:r w:rsidRPr="00941E99">
        <w:t xml:space="preserve"> </w:t>
      </w:r>
      <w:r w:rsidRPr="00941E99">
        <w:rPr>
          <w:rStyle w:val="highlight"/>
        </w:rPr>
        <w:t>level</w:t>
      </w:r>
      <w:r w:rsidRPr="00941E99">
        <w:t xml:space="preserve">, then </w:t>
      </w:r>
      <w:r w:rsidRPr="00941E99">
        <w:rPr>
          <w:rStyle w:val="highlight"/>
        </w:rPr>
        <w:t>all</w:t>
      </w:r>
      <w:r w:rsidRPr="00941E99">
        <w:t xml:space="preserve"> the </w:t>
      </w:r>
      <w:r w:rsidRPr="00941E99">
        <w:rPr>
          <w:rStyle w:val="highlight"/>
        </w:rPr>
        <w:t>schools</w:t>
      </w:r>
      <w:r w:rsidRPr="00941E99">
        <w:t xml:space="preserve"> could be united. But just as the state of the world does not permit that, so the </w:t>
      </w:r>
      <w:r w:rsidRPr="00941E99">
        <w:rPr>
          <w:rStyle w:val="highlight"/>
        </w:rPr>
        <w:t>schools</w:t>
      </w:r>
      <w:r w:rsidRPr="00941E99">
        <w:t xml:space="preserve"> of </w:t>
      </w:r>
      <w:r w:rsidRPr="00941E99">
        <w:rPr>
          <w:rStyle w:val="highlight"/>
        </w:rPr>
        <w:t>law</w:t>
      </w:r>
      <w:r w:rsidRPr="00941E99">
        <w:t xml:space="preserve"> cannot be the </w:t>
      </w:r>
      <w:r w:rsidRPr="00941E99">
        <w:rPr>
          <w:rStyle w:val="highlight"/>
        </w:rPr>
        <w:t>same</w:t>
      </w:r>
      <w:r w:rsidRPr="00941E99">
        <w:t>.</w:t>
      </w:r>
      <w:r w:rsidRPr="00941E99">
        <w:rPr>
          <w:rStyle w:val="FootnoteReference"/>
        </w:rPr>
        <w:footnoteReference w:id="11"/>
      </w:r>
    </w:p>
    <w:p w:rsidR="009F3B8E" w:rsidRPr="00941E99" w:rsidRDefault="009F3B8E" w:rsidP="009F3B8E">
      <w:pPr>
        <w:spacing w:after="0" w:line="360" w:lineRule="auto"/>
        <w:ind w:left="567" w:right="567"/>
        <w:jc w:val="both"/>
      </w:pPr>
    </w:p>
    <w:p w:rsidR="009F3B8E" w:rsidRPr="00941E99" w:rsidRDefault="009F3B8E" w:rsidP="009F3B8E">
      <w:pPr>
        <w:spacing w:after="0" w:line="360" w:lineRule="auto"/>
        <w:jc w:val="both"/>
      </w:pPr>
      <w:r w:rsidRPr="00941E99">
        <w:t xml:space="preserve">He therefore highlighted the need for legal pluralism within Islam itself. Not only was </w:t>
      </w:r>
      <w:proofErr w:type="spellStart"/>
      <w:r w:rsidRPr="00941E99">
        <w:t>Nursi</w:t>
      </w:r>
      <w:proofErr w:type="spellEnd"/>
      <w:r w:rsidRPr="00941E99">
        <w:t xml:space="preserve"> an early discussant of inter-religious pluralism,</w:t>
      </w:r>
      <w:r w:rsidRPr="00941E99">
        <w:rPr>
          <w:rStyle w:val="FootnoteReference"/>
        </w:rPr>
        <w:footnoteReference w:id="12"/>
      </w:r>
      <w:r w:rsidRPr="00941E99">
        <w:t xml:space="preserve"> his discussion of pluralism emphasised intra-religious diversity. Especially, since he noted the inclinations of the people of religion to “oppose each other in rivalry, although they are the people of truth and concord”.</w:t>
      </w:r>
      <w:r w:rsidRPr="00941E99">
        <w:rPr>
          <w:rStyle w:val="FootnoteReference"/>
        </w:rPr>
        <w:footnoteReference w:id="13"/>
      </w:r>
      <w:r w:rsidRPr="00941E99">
        <w:t xml:space="preserve"> Based on such observations, </w:t>
      </w:r>
      <w:proofErr w:type="spellStart"/>
      <w:r w:rsidRPr="00941E99">
        <w:t>Nursi</w:t>
      </w:r>
      <w:proofErr w:type="spellEnd"/>
      <w:r w:rsidRPr="00941E99">
        <w:t xml:space="preserve"> attributed the root cause of religious decline to be the social philosophy i.e. pluralism or lack of among the people of religion. He thus prescribed the essence of pluralism:</w:t>
      </w:r>
    </w:p>
    <w:p w:rsidR="009F3B8E" w:rsidRPr="00941E99" w:rsidRDefault="009F3B8E" w:rsidP="009F3B8E">
      <w:pPr>
        <w:spacing w:after="0" w:line="360" w:lineRule="auto"/>
        <w:jc w:val="both"/>
      </w:pPr>
    </w:p>
    <w:p w:rsidR="009F3B8E" w:rsidRPr="00941E99" w:rsidRDefault="009F3B8E" w:rsidP="009F3B8E">
      <w:pPr>
        <w:spacing w:after="0" w:line="360" w:lineRule="auto"/>
        <w:ind w:left="562" w:right="562"/>
        <w:jc w:val="both"/>
      </w:pPr>
      <w:r w:rsidRPr="00941E99">
        <w:t>“</w:t>
      </w:r>
      <w:r w:rsidRPr="00941E99">
        <w:rPr>
          <w:rFonts w:cs="Arial"/>
        </w:rPr>
        <w:t xml:space="preserve">To adopt the just rule of conduct that the follower of any right </w:t>
      </w:r>
      <w:r w:rsidRPr="00941E99">
        <w:rPr>
          <w:rStyle w:val="highlight"/>
          <w:rFonts w:cs="Arial"/>
        </w:rPr>
        <w:t>outlook</w:t>
      </w:r>
      <w:r w:rsidRPr="00941E99">
        <w:rPr>
          <w:rFonts w:cs="Arial"/>
        </w:rPr>
        <w:t xml:space="preserve"> has the right to say, “</w:t>
      </w:r>
      <w:r w:rsidRPr="00941E99">
        <w:rPr>
          <w:rStyle w:val="highlight"/>
          <w:rFonts w:cs="Arial"/>
        </w:rPr>
        <w:t>My outlook is true, or the best</w:t>
      </w:r>
      <w:r w:rsidRPr="00941E99">
        <w:rPr>
          <w:rFonts w:cs="Arial"/>
        </w:rPr>
        <w:t>,” but not that “</w:t>
      </w:r>
      <w:r w:rsidRPr="00941E99">
        <w:rPr>
          <w:rStyle w:val="highlight"/>
          <w:rFonts w:cs="Arial"/>
        </w:rPr>
        <w:t>My</w:t>
      </w:r>
      <w:r w:rsidRPr="00941E99">
        <w:rPr>
          <w:rFonts w:cs="Arial"/>
        </w:rPr>
        <w:t xml:space="preserve"> </w:t>
      </w:r>
      <w:r w:rsidRPr="00941E99">
        <w:rPr>
          <w:rStyle w:val="highlight"/>
          <w:rFonts w:cs="Arial"/>
        </w:rPr>
        <w:t>outlook</w:t>
      </w:r>
      <w:r w:rsidRPr="00941E99">
        <w:rPr>
          <w:rFonts w:cs="Arial"/>
        </w:rPr>
        <w:t xml:space="preserve"> alone is </w:t>
      </w:r>
      <w:r w:rsidRPr="00941E99">
        <w:rPr>
          <w:rStyle w:val="highlight"/>
          <w:rFonts w:cs="Arial"/>
        </w:rPr>
        <w:t>true,</w:t>
      </w:r>
      <w:r w:rsidRPr="00941E99">
        <w:rPr>
          <w:rFonts w:cs="Arial"/>
        </w:rPr>
        <w:t>” or that “</w:t>
      </w:r>
      <w:r w:rsidRPr="00941E99">
        <w:rPr>
          <w:rStyle w:val="highlight"/>
          <w:rFonts w:cs="Arial"/>
        </w:rPr>
        <w:t>My</w:t>
      </w:r>
      <w:r w:rsidRPr="00941E99">
        <w:rPr>
          <w:rFonts w:cs="Arial"/>
        </w:rPr>
        <w:t xml:space="preserve"> </w:t>
      </w:r>
      <w:r w:rsidRPr="00941E99">
        <w:rPr>
          <w:rStyle w:val="highlight"/>
          <w:rFonts w:cs="Arial"/>
        </w:rPr>
        <w:t>outlook</w:t>
      </w:r>
      <w:r w:rsidRPr="00941E99">
        <w:rPr>
          <w:rFonts w:cs="Arial"/>
        </w:rPr>
        <w:t xml:space="preserve"> alone is good,” thus implying the falsity or repugnance of all other </w:t>
      </w:r>
      <w:r w:rsidRPr="00941E99">
        <w:rPr>
          <w:rStyle w:val="highlight"/>
          <w:rFonts w:cs="Arial"/>
        </w:rPr>
        <w:t>outlook</w:t>
      </w:r>
      <w:r w:rsidRPr="00941E99">
        <w:rPr>
          <w:rFonts w:cs="Arial"/>
        </w:rPr>
        <w:t>s.</w:t>
      </w:r>
      <w:r w:rsidRPr="00941E99">
        <w:rPr>
          <w:rStyle w:val="FootnoteReference"/>
          <w:rFonts w:cs="Arial"/>
        </w:rPr>
        <w:footnoteReference w:id="14"/>
      </w:r>
      <w:r w:rsidRPr="00941E99">
        <w:t xml:space="preserve"> </w:t>
      </w:r>
    </w:p>
    <w:p w:rsidR="009F3B8E" w:rsidRPr="00941E99" w:rsidRDefault="009F3B8E" w:rsidP="009F3B8E">
      <w:pPr>
        <w:spacing w:after="0" w:line="360" w:lineRule="auto"/>
        <w:jc w:val="both"/>
      </w:pPr>
    </w:p>
    <w:p w:rsidR="009F3B8E" w:rsidRPr="00941E99" w:rsidRDefault="009F3B8E" w:rsidP="009F3B8E">
      <w:pPr>
        <w:spacing w:after="0" w:line="360" w:lineRule="auto"/>
        <w:jc w:val="both"/>
      </w:pPr>
      <w:r w:rsidRPr="00941E99">
        <w:t xml:space="preserve">Utilising the first approach, </w:t>
      </w:r>
      <w:proofErr w:type="spellStart"/>
      <w:r w:rsidRPr="00941E99">
        <w:t>Nursi</w:t>
      </w:r>
      <w:proofErr w:type="spellEnd"/>
      <w:r w:rsidRPr="00941E99">
        <w:t xml:space="preserve"> advocated the use and value of pluralism to revitalise faith. This was to prevent escalating tensions within the Muslim world which he predicted and did materialise. Today we see many Sufi shrines deemed “un-Islamic” continually destroyed by </w:t>
      </w:r>
      <w:proofErr w:type="spellStart"/>
      <w:r w:rsidRPr="00941E99">
        <w:t>Salafi</w:t>
      </w:r>
      <w:proofErr w:type="spellEnd"/>
      <w:r w:rsidRPr="00941E99">
        <w:t xml:space="preserve"> groups every month.</w:t>
      </w:r>
      <w:r w:rsidRPr="00941E99">
        <w:rPr>
          <w:rStyle w:val="FootnoteReference"/>
        </w:rPr>
        <w:footnoteReference w:id="15"/>
      </w:r>
      <w:r w:rsidRPr="00941E99">
        <w:t xml:space="preserve"> Just recently, Malaysian Minister in the Prime Minister’s Department </w:t>
      </w:r>
      <w:proofErr w:type="spellStart"/>
      <w:r w:rsidRPr="00941E99">
        <w:t>Datuk</w:t>
      </w:r>
      <w:proofErr w:type="spellEnd"/>
      <w:r w:rsidRPr="00941E99">
        <w:t xml:space="preserve"> Seri </w:t>
      </w:r>
      <w:proofErr w:type="spellStart"/>
      <w:r w:rsidRPr="00941E99">
        <w:t>Jamil</w:t>
      </w:r>
      <w:proofErr w:type="spellEnd"/>
      <w:r w:rsidRPr="00941E99">
        <w:t xml:space="preserve"> </w:t>
      </w:r>
      <w:proofErr w:type="spellStart"/>
      <w:r w:rsidRPr="00941E99">
        <w:t>Khir</w:t>
      </w:r>
      <w:proofErr w:type="spellEnd"/>
      <w:r w:rsidRPr="00941E99">
        <w:t xml:space="preserve"> </w:t>
      </w:r>
      <w:proofErr w:type="spellStart"/>
      <w:r w:rsidRPr="00941E99">
        <w:t>Baharom</w:t>
      </w:r>
      <w:proofErr w:type="spellEnd"/>
      <w:r w:rsidRPr="00941E99">
        <w:t xml:space="preserve"> issued a statement declaring that banning Shia teachings in the country did not implicate the issue of human rights violation.</w:t>
      </w:r>
      <w:r w:rsidRPr="00941E99">
        <w:rPr>
          <w:rStyle w:val="FootnoteReference"/>
        </w:rPr>
        <w:footnoteReference w:id="16"/>
      </w:r>
      <w:r w:rsidRPr="00941E99">
        <w:t xml:space="preserve"> </w:t>
      </w:r>
    </w:p>
    <w:p w:rsidR="009F3B8E" w:rsidRPr="00941E99" w:rsidRDefault="009F3B8E" w:rsidP="009F3B8E">
      <w:pPr>
        <w:spacing w:after="0" w:line="360" w:lineRule="auto"/>
        <w:jc w:val="both"/>
      </w:pPr>
    </w:p>
    <w:p w:rsidR="009F3B8E" w:rsidRPr="00941E99" w:rsidRDefault="009F3B8E" w:rsidP="009F3B8E">
      <w:pPr>
        <w:spacing w:after="0" w:line="360" w:lineRule="auto"/>
        <w:jc w:val="both"/>
      </w:pPr>
      <w:r w:rsidRPr="00941E99">
        <w:t xml:space="preserve">In any pluralistic society defined by </w:t>
      </w:r>
      <w:proofErr w:type="spellStart"/>
      <w:r w:rsidRPr="00941E99">
        <w:t>Abdolkarim</w:t>
      </w:r>
      <w:proofErr w:type="spellEnd"/>
      <w:r w:rsidRPr="00941E99">
        <w:t xml:space="preserve"> </w:t>
      </w:r>
      <w:proofErr w:type="spellStart"/>
      <w:r w:rsidRPr="00941E99">
        <w:t>Soroush</w:t>
      </w:r>
      <w:proofErr w:type="spellEnd"/>
      <w:r w:rsidRPr="00941E99">
        <w:t xml:space="preserve"> as “a society with no official religious interpretations and interpreters; it is established on pluralistic reason and not the sentiments of </w:t>
      </w:r>
      <w:r w:rsidRPr="00941E99">
        <w:lastRenderedPageBreak/>
        <w:t>sacred unity”,</w:t>
      </w:r>
      <w:r w:rsidRPr="00941E99">
        <w:rPr>
          <w:rStyle w:val="FootnoteReference"/>
        </w:rPr>
        <w:footnoteReference w:id="17"/>
      </w:r>
      <w:r w:rsidRPr="00941E99">
        <w:t xml:space="preserve"> both inter-religious and intra-religious engagements have to be with decorum. Such </w:t>
      </w:r>
      <w:proofErr w:type="gramStart"/>
      <w:r w:rsidRPr="00941E99">
        <w:t>conceptions of pluralistic society is</w:t>
      </w:r>
      <w:proofErr w:type="gramEnd"/>
      <w:r w:rsidRPr="00941E99">
        <w:t xml:space="preserve"> not new in Islam. During Prophet Muhammad’s time, he established a pluralistic society under a social treaty called the </w:t>
      </w:r>
      <w:proofErr w:type="spellStart"/>
      <w:r w:rsidRPr="00941E99">
        <w:t>Madinah</w:t>
      </w:r>
      <w:proofErr w:type="spellEnd"/>
      <w:r w:rsidRPr="00941E99">
        <w:t xml:space="preserve"> Charter. The successful practice consequently inspired the philosophy of modern states based on social welfare, to which </w:t>
      </w:r>
      <w:proofErr w:type="spellStart"/>
      <w:r w:rsidRPr="00941E99">
        <w:t>Asghar</w:t>
      </w:r>
      <w:proofErr w:type="spellEnd"/>
      <w:r w:rsidRPr="00941E99">
        <w:t xml:space="preserve"> Ali Engineer viewed the </w:t>
      </w:r>
      <w:proofErr w:type="spellStart"/>
      <w:r w:rsidRPr="00941E99">
        <w:t>Madinah</w:t>
      </w:r>
      <w:proofErr w:type="spellEnd"/>
      <w:r w:rsidRPr="00941E99">
        <w:t xml:space="preserve"> Charter as “philosophically close to secularism”</w:t>
      </w:r>
      <w:r w:rsidRPr="00941E99">
        <w:rPr>
          <w:rStyle w:val="FootnoteReference"/>
        </w:rPr>
        <w:footnoteReference w:id="18"/>
      </w:r>
      <w:r w:rsidRPr="00941E99">
        <w:t>.</w:t>
      </w:r>
    </w:p>
    <w:p w:rsidR="009F3B8E" w:rsidRPr="00941E99" w:rsidRDefault="009F3B8E" w:rsidP="009F3B8E">
      <w:pPr>
        <w:spacing w:after="0" w:line="360" w:lineRule="auto"/>
        <w:jc w:val="both"/>
      </w:pPr>
    </w:p>
    <w:p w:rsidR="009F3B8E" w:rsidRPr="00941E99" w:rsidRDefault="009F3B8E" w:rsidP="009F3B8E">
      <w:pPr>
        <w:spacing w:after="0" w:line="360" w:lineRule="auto"/>
        <w:jc w:val="both"/>
      </w:pPr>
      <w:r w:rsidRPr="00941E99">
        <w:t xml:space="preserve">Specifically, the acceptance of religious pluralism – defined as (1) the legitimate right of existence and practice of diverse religious groups in a society; and (2) the state cannot dictate and interfere with the religious choice of an individual – remains a key feature of secular countries today. Following such pluralistic definitions that make a secular state, </w:t>
      </w:r>
      <w:proofErr w:type="spellStart"/>
      <w:r w:rsidRPr="00941E99">
        <w:t>Nursi</w:t>
      </w:r>
      <w:proofErr w:type="spellEnd"/>
      <w:r w:rsidRPr="00941E99">
        <w:t xml:space="preserve"> had never opposed the idea of a secular state – contrary to political Islamists who insist on “</w:t>
      </w:r>
      <w:proofErr w:type="spellStart"/>
      <w:r w:rsidRPr="00941E99">
        <w:t>Islamization</w:t>
      </w:r>
      <w:proofErr w:type="spellEnd"/>
      <w:r w:rsidRPr="00941E99">
        <w:t>” in many forms</w:t>
      </w:r>
      <w:r w:rsidRPr="00941E99">
        <w:rPr>
          <w:rStyle w:val="FootnoteReference"/>
        </w:rPr>
        <w:footnoteReference w:id="19"/>
      </w:r>
      <w:r w:rsidRPr="00941E99">
        <w:t xml:space="preserve">. For </w:t>
      </w:r>
      <w:proofErr w:type="spellStart"/>
      <w:r w:rsidRPr="00941E99">
        <w:t>Nursi</w:t>
      </w:r>
      <w:proofErr w:type="spellEnd"/>
      <w:r w:rsidRPr="00941E99">
        <w:t xml:space="preserve">, living in a nation-state that did not implement Islamic law did not render anyone any less of a Muslim. He nonetheless expected the secular state to be neutral in terms of respecting the rights and freedoms of various religions, maintaining the prophet’s tradition of religious pluralism. </w:t>
      </w:r>
    </w:p>
    <w:p w:rsidR="009F3B8E" w:rsidRPr="00941E99" w:rsidRDefault="009F3B8E" w:rsidP="009F3B8E">
      <w:pPr>
        <w:spacing w:after="0" w:line="360" w:lineRule="auto"/>
        <w:jc w:val="both"/>
      </w:pPr>
    </w:p>
    <w:p w:rsidR="009F3B8E" w:rsidRPr="00941E99" w:rsidRDefault="009F3B8E" w:rsidP="009F3B8E">
      <w:pPr>
        <w:spacing w:after="0" w:line="360" w:lineRule="auto"/>
        <w:ind w:left="562" w:right="562"/>
        <w:jc w:val="both"/>
      </w:pPr>
      <w:r w:rsidRPr="00941E99">
        <w:t>If you ask me about the secular republic, what I understand by it is that ‘secular’ (laic) means to be impartial; that is, a government which, in accordance with the principle of freedom of conscience, does not interfere with the religiously-minded and pious, the same as it does not interfere with the irreligious and dissipated.</w:t>
      </w:r>
      <w:r w:rsidRPr="00941E99">
        <w:rPr>
          <w:rStyle w:val="FootnoteReference"/>
        </w:rPr>
        <w:footnoteReference w:id="20"/>
      </w:r>
    </w:p>
    <w:p w:rsidR="009F3B8E" w:rsidRPr="00941E99" w:rsidRDefault="009F3B8E" w:rsidP="009F3B8E">
      <w:pPr>
        <w:spacing w:after="0" w:line="360" w:lineRule="auto"/>
        <w:jc w:val="both"/>
      </w:pPr>
    </w:p>
    <w:p w:rsidR="009F3B8E" w:rsidRPr="00941E99" w:rsidRDefault="009F3B8E" w:rsidP="009F3B8E">
      <w:pPr>
        <w:spacing w:after="0" w:line="360" w:lineRule="auto"/>
        <w:jc w:val="both"/>
      </w:pPr>
      <w:r w:rsidRPr="00941E99">
        <w:t>Freedom of conscience forms the basic concept in rejecting any attempt to enforce one’s beliefs on others. Such basis of freedom, according to Engineer, is similarly found in the Quran stating there is no compulsion in religion (2:256) and maintains that all children of Adam are honourable (17:70). It is therefore theologically valid that “Islam does not come in the way of promoting a pluralist civil society ensuring dignity and freedom of conscience to all”</w:t>
      </w:r>
      <w:r w:rsidRPr="00941E99">
        <w:rPr>
          <w:rStyle w:val="FootnoteReference"/>
        </w:rPr>
        <w:footnoteReference w:id="21"/>
      </w:r>
      <w:r w:rsidRPr="00941E99">
        <w:t xml:space="preserve">. </w:t>
      </w:r>
      <w:proofErr w:type="spellStart"/>
      <w:r w:rsidRPr="00941E99">
        <w:t>Nursi’s</w:t>
      </w:r>
      <w:proofErr w:type="spellEnd"/>
      <w:r w:rsidRPr="00941E99">
        <w:t xml:space="preserve"> position clearly stood in contrast with fundamentalist thought that negates pluralism by seeking to impose a monolithic society based on their understandings of sharia alone, albeit in the form of an Islamic state. In the preceding section, the paper will elaborate why </w:t>
      </w:r>
      <w:proofErr w:type="spellStart"/>
      <w:r w:rsidRPr="00941E99">
        <w:t>Nursi</w:t>
      </w:r>
      <w:proofErr w:type="spellEnd"/>
      <w:r w:rsidRPr="00941E99">
        <w:t xml:space="preserve">, using the second approach, had never suggested replacing the secular state with an Islamic one. </w:t>
      </w:r>
    </w:p>
    <w:p w:rsidR="009F3B8E" w:rsidRPr="00941E99" w:rsidRDefault="009F3B8E" w:rsidP="009F3B8E">
      <w:pPr>
        <w:spacing w:line="360" w:lineRule="auto"/>
      </w:pPr>
    </w:p>
    <w:p w:rsidR="009F3B8E" w:rsidRPr="00941E99" w:rsidRDefault="009F3B8E" w:rsidP="009F3B8E">
      <w:pPr>
        <w:spacing w:after="0" w:line="360" w:lineRule="auto"/>
        <w:jc w:val="both"/>
        <w:rPr>
          <w:b/>
        </w:rPr>
      </w:pPr>
      <w:r w:rsidRPr="00941E99">
        <w:rPr>
          <w:b/>
        </w:rPr>
        <w:lastRenderedPageBreak/>
        <w:t xml:space="preserve">Second Approach: Study of Theology’s Social Determinants </w:t>
      </w:r>
    </w:p>
    <w:p w:rsidR="009F3B8E" w:rsidRPr="00941E99" w:rsidRDefault="009F3B8E" w:rsidP="009F3B8E">
      <w:pPr>
        <w:spacing w:after="0" w:line="360" w:lineRule="auto"/>
        <w:jc w:val="both"/>
      </w:pPr>
    </w:p>
    <w:p w:rsidR="009F3B8E" w:rsidRPr="00941E99" w:rsidRDefault="009F3B8E" w:rsidP="009F3B8E">
      <w:pPr>
        <w:spacing w:after="0" w:line="360" w:lineRule="auto"/>
        <w:jc w:val="both"/>
      </w:pPr>
      <w:r w:rsidRPr="00941E99">
        <w:t xml:space="preserve">In order to realise a secular state coloured in religious pluralism, </w:t>
      </w:r>
      <w:proofErr w:type="spellStart"/>
      <w:r w:rsidRPr="00941E99">
        <w:t>Nursi</w:t>
      </w:r>
      <w:proofErr w:type="spellEnd"/>
      <w:r w:rsidRPr="00941E99">
        <w:t xml:space="preserve"> attempted to reintroduce religion into the public sphere which focuses on the individual rather than politics. He argued that the problems of the Islamic world required an implementation of </w:t>
      </w:r>
      <w:proofErr w:type="spellStart"/>
      <w:r w:rsidRPr="00941E99">
        <w:t>shari’a</w:t>
      </w:r>
      <w:proofErr w:type="spellEnd"/>
      <w:r w:rsidRPr="00941E99">
        <w:t>, which was to be understood in “the broader sense as a code of ethical conduct.”</w:t>
      </w:r>
      <w:r w:rsidRPr="00941E99">
        <w:rPr>
          <w:rStyle w:val="FootnoteReference"/>
        </w:rPr>
        <w:footnoteReference w:id="22"/>
      </w:r>
      <w:r w:rsidRPr="00941E99">
        <w:t xml:space="preserve"> This was based on his observations that “ninety-nine </w:t>
      </w:r>
      <w:proofErr w:type="spellStart"/>
      <w:r w:rsidRPr="00941E99">
        <w:t>percent</w:t>
      </w:r>
      <w:proofErr w:type="spellEnd"/>
      <w:r w:rsidRPr="00941E99">
        <w:t xml:space="preserve"> of the </w:t>
      </w:r>
      <w:proofErr w:type="spellStart"/>
      <w:r w:rsidRPr="00941E99">
        <w:t>shari’a</w:t>
      </w:r>
      <w:proofErr w:type="spellEnd"/>
      <w:r w:rsidRPr="00941E99">
        <w:t xml:space="preserve"> is concerned with morality, worship, the hereafter, and virtue… only one </w:t>
      </w:r>
      <w:proofErr w:type="spellStart"/>
      <w:r w:rsidRPr="00941E99">
        <w:t>percent</w:t>
      </w:r>
      <w:proofErr w:type="spellEnd"/>
      <w:r w:rsidRPr="00941E99">
        <w:t xml:space="preserve"> deals with politics; leave that to the rulers.”</w:t>
      </w:r>
      <w:r w:rsidRPr="00941E99">
        <w:rPr>
          <w:rStyle w:val="FootnoteReference"/>
        </w:rPr>
        <w:footnoteReference w:id="23"/>
      </w:r>
    </w:p>
    <w:p w:rsidR="009F3B8E" w:rsidRPr="00941E99" w:rsidRDefault="009F3B8E" w:rsidP="009F3B8E">
      <w:pPr>
        <w:spacing w:after="0" w:line="360" w:lineRule="auto"/>
        <w:jc w:val="both"/>
      </w:pPr>
    </w:p>
    <w:p w:rsidR="009F3B8E" w:rsidRPr="00941E99" w:rsidRDefault="009F3B8E" w:rsidP="009F3B8E">
      <w:pPr>
        <w:spacing w:after="0" w:line="360" w:lineRule="auto"/>
        <w:jc w:val="both"/>
      </w:pPr>
      <w:r w:rsidRPr="00941E99">
        <w:t xml:space="preserve">Such observations remain applicable for today’s Islamist governments, which have found very little in Islam that speaks to the political need for a “modern Islamic state.” The Islamic Republic of Iran, for instance, is not only “a form unknown in Islamic history” but has been described as “much more secular than secular Turkey or many of its Arab </w:t>
      </w:r>
      <w:proofErr w:type="spellStart"/>
      <w:r w:rsidRPr="00941E99">
        <w:t>neighbors</w:t>
      </w:r>
      <w:proofErr w:type="spellEnd"/>
      <w:r w:rsidRPr="00941E99">
        <w:t>.”</w:t>
      </w:r>
      <w:r w:rsidRPr="00941E99">
        <w:rPr>
          <w:rStyle w:val="FootnoteReference"/>
        </w:rPr>
        <w:footnoteReference w:id="24"/>
      </w:r>
      <w:r w:rsidRPr="00941E99">
        <w:t xml:space="preserve"> This meant that </w:t>
      </w:r>
      <w:proofErr w:type="spellStart"/>
      <w:r w:rsidRPr="00941E99">
        <w:t>Nursi</w:t>
      </w:r>
      <w:proofErr w:type="spellEnd"/>
      <w:r w:rsidRPr="00941E99">
        <w:t xml:space="preserve"> was very much against the political project of irreligious secular state as an Islamic state, which is likewise a novelty in Islamic history.  </w:t>
      </w:r>
    </w:p>
    <w:p w:rsidR="009F3B8E" w:rsidRPr="00941E99" w:rsidRDefault="009F3B8E" w:rsidP="009F3B8E">
      <w:pPr>
        <w:spacing w:after="0" w:line="360" w:lineRule="auto"/>
        <w:jc w:val="both"/>
        <w:rPr>
          <w:rFonts w:cs="Times New Roman"/>
          <w:lang w:eastAsia="en-SG"/>
        </w:rPr>
      </w:pPr>
    </w:p>
    <w:p w:rsidR="009F3B8E" w:rsidRPr="00941E99" w:rsidRDefault="009F3B8E" w:rsidP="009F3B8E">
      <w:pPr>
        <w:spacing w:after="0" w:line="360" w:lineRule="auto"/>
        <w:jc w:val="both"/>
      </w:pPr>
      <w:r w:rsidRPr="00941E99">
        <w:t xml:space="preserve">He based the incompatible relationship between religion and politics on the impossibility of an Islamic party. As such, it can be argued that an Islamic state is, if not more, capable of religious monopoly which could threaten pluralism. </w:t>
      </w:r>
      <w:proofErr w:type="spellStart"/>
      <w:r w:rsidRPr="00941E99">
        <w:t>Nursi</w:t>
      </w:r>
      <w:proofErr w:type="spellEnd"/>
      <w:r w:rsidRPr="00941E99">
        <w:t xml:space="preserve"> argued that it was impossible for any one party to represent “true” Islam, as the idea that religion would be identified with a single party was illogical to him.</w:t>
      </w:r>
      <w:r w:rsidRPr="00941E99">
        <w:rPr>
          <w:rStyle w:val="FootnoteReference"/>
        </w:rPr>
        <w:footnoteReference w:id="25"/>
      </w:r>
      <w:r w:rsidRPr="00941E99">
        <w:t xml:space="preserve"> Even within a single Islamic party, politics could affect Muslim solidarity and warned that “biased partisanship” could visibly affect Muslim social solidarity:</w:t>
      </w:r>
      <w:r w:rsidRPr="00941E99">
        <w:rPr>
          <w:rStyle w:val="FootnoteReference"/>
        </w:rPr>
        <w:footnoteReference w:id="26"/>
      </w:r>
      <w:r w:rsidRPr="00941E99">
        <w:t xml:space="preserve"> </w:t>
      </w:r>
    </w:p>
    <w:p w:rsidR="009F3B8E" w:rsidRPr="00941E99" w:rsidRDefault="009F3B8E" w:rsidP="009F3B8E">
      <w:pPr>
        <w:spacing w:after="0" w:line="360" w:lineRule="auto"/>
        <w:jc w:val="both"/>
      </w:pPr>
    </w:p>
    <w:p w:rsidR="009F3B8E" w:rsidRPr="00941E99" w:rsidRDefault="009F3B8E" w:rsidP="009F3B8E">
      <w:pPr>
        <w:spacing w:after="0" w:line="360" w:lineRule="auto"/>
        <w:ind w:left="562" w:right="562"/>
        <w:jc w:val="both"/>
      </w:pPr>
      <w:r w:rsidRPr="00941E99">
        <w:t xml:space="preserve">I once saw, as a result of biased partisanship, a pious scholar of religion going so far in his condemnation of another scholar with whose </w:t>
      </w:r>
      <w:r w:rsidRPr="00941E99">
        <w:rPr>
          <w:rStyle w:val="highlight"/>
        </w:rPr>
        <w:t>political</w:t>
      </w:r>
      <w:r w:rsidRPr="00941E99">
        <w:t xml:space="preserve"> opinions he disagreed as to imply that he was an unbeliever. He also praised with respect a dissembler who shared his own opinions. I was appalled at these evil results of </w:t>
      </w:r>
      <w:r w:rsidRPr="00941E99">
        <w:rPr>
          <w:rStyle w:val="highlight"/>
        </w:rPr>
        <w:t>political</w:t>
      </w:r>
      <w:r w:rsidRPr="00941E99">
        <w:t xml:space="preserve"> involvement. I said: “I take refuge with God from Satan and </w:t>
      </w:r>
      <w:r w:rsidRPr="00941E99">
        <w:rPr>
          <w:rStyle w:val="highlight"/>
        </w:rPr>
        <w:t>politic</w:t>
      </w:r>
      <w:r w:rsidRPr="00941E99">
        <w:t xml:space="preserve">s,” and from that time on withdrew from </w:t>
      </w:r>
      <w:r w:rsidRPr="00941E99">
        <w:rPr>
          <w:rStyle w:val="highlight"/>
        </w:rPr>
        <w:t>politic</w:t>
      </w:r>
      <w:r w:rsidRPr="00941E99">
        <w:t>s.</w:t>
      </w:r>
      <w:r w:rsidRPr="00941E99">
        <w:rPr>
          <w:rStyle w:val="FootnoteReference"/>
        </w:rPr>
        <w:footnoteReference w:id="27"/>
      </w:r>
    </w:p>
    <w:p w:rsidR="009F3B8E" w:rsidRPr="00941E99" w:rsidRDefault="009F3B8E" w:rsidP="009F3B8E">
      <w:pPr>
        <w:spacing w:after="0" w:line="360" w:lineRule="auto"/>
        <w:jc w:val="both"/>
      </w:pPr>
      <w:r w:rsidRPr="00941E99">
        <w:lastRenderedPageBreak/>
        <w:t>He referred to “politics as a tool of irreligion”</w:t>
      </w:r>
      <w:r w:rsidRPr="00941E99">
        <w:rPr>
          <w:rStyle w:val="FootnoteReference"/>
        </w:rPr>
        <w:footnoteReference w:id="28"/>
      </w:r>
      <w:r w:rsidRPr="00941E99">
        <w:t>. The possibility of political opportunism overriding religious commitment can be seen in line with Manheim’s concept of ideology where the “the collective unconscious of certain group obscures the real condition of the soci</w:t>
      </w:r>
      <w:r w:rsidR="007146D5">
        <w:t xml:space="preserve">ety both to itself and others”. </w:t>
      </w:r>
      <w:r w:rsidRPr="00941E99">
        <w:t>And this ties in with the second approach which recognises a critical contribution to theology as identifying its possible ideological distortions.”</w:t>
      </w:r>
      <w:r w:rsidRPr="00941E99">
        <w:rPr>
          <w:rStyle w:val="FootnoteReference"/>
        </w:rPr>
        <w:footnoteReference w:id="29"/>
      </w:r>
      <w:r w:rsidRPr="00941E99">
        <w:t xml:space="preserve"> </w:t>
      </w:r>
    </w:p>
    <w:p w:rsidR="009F3B8E" w:rsidRPr="00941E99" w:rsidRDefault="009F3B8E" w:rsidP="009F3B8E">
      <w:pPr>
        <w:spacing w:after="0" w:line="360" w:lineRule="auto"/>
        <w:jc w:val="both"/>
      </w:pPr>
    </w:p>
    <w:p w:rsidR="009F3B8E" w:rsidRPr="00941E99" w:rsidRDefault="009F3B8E" w:rsidP="009F3B8E">
      <w:pPr>
        <w:spacing w:after="0" w:line="360" w:lineRule="auto"/>
        <w:ind w:left="562" w:right="562"/>
        <w:jc w:val="both"/>
      </w:pPr>
      <w:r w:rsidRPr="00941E99">
        <w:t>This approach, assumes that, as a human enterprise, theology is socially determined. It suggests a correlation between social structures and theology, regarding the latter as a product of the former. Theology (like all other ideologies and explications of beliefs) is viewed as a human product or as a social construction. On the basis of this approach, it becomes possible to use techniques, developed in the sociology of knowledge, in order to study the ways in which differing theological positions are correlated with differing social structures.</w:t>
      </w:r>
    </w:p>
    <w:p w:rsidR="009F3B8E" w:rsidRPr="00941E99" w:rsidRDefault="009F3B8E" w:rsidP="009F3B8E">
      <w:pPr>
        <w:spacing w:after="0" w:line="360" w:lineRule="auto"/>
        <w:jc w:val="both"/>
      </w:pPr>
    </w:p>
    <w:p w:rsidR="009F3B8E" w:rsidRPr="00941E99" w:rsidRDefault="009F3B8E" w:rsidP="009F3B8E">
      <w:pPr>
        <w:spacing w:after="0" w:line="360" w:lineRule="auto"/>
        <w:jc w:val="both"/>
      </w:pPr>
      <w:r w:rsidRPr="00941E99">
        <w:t>Sociology of knowledge however is concerned not so much with “distortions due to a deliberate effort to deceive as with the varying ways in which objects present themselves to the subject according to the differences in the social settings.”</w:t>
      </w:r>
      <w:r w:rsidRPr="00941E99">
        <w:rPr>
          <w:rStyle w:val="FootnoteReference"/>
        </w:rPr>
        <w:footnoteReference w:id="30"/>
      </w:r>
      <w:r w:rsidRPr="00941E99">
        <w:t xml:space="preserve"> The paper has already shown that </w:t>
      </w:r>
      <w:proofErr w:type="spellStart"/>
      <w:r w:rsidRPr="00941E99">
        <w:t>Nursi</w:t>
      </w:r>
      <w:proofErr w:type="spellEnd"/>
      <w:r w:rsidRPr="00941E99">
        <w:t xml:space="preserve">, using the first approach, was aware of the mental structures (of conceptualising theology) which are inevitably differently formed in different social and historical settings. </w:t>
      </w:r>
    </w:p>
    <w:p w:rsidR="009F3B8E" w:rsidRPr="00941E99" w:rsidRDefault="009F3B8E" w:rsidP="009F3B8E">
      <w:pPr>
        <w:spacing w:after="0" w:line="360" w:lineRule="auto"/>
        <w:jc w:val="both"/>
      </w:pPr>
    </w:p>
    <w:p w:rsidR="007146D5" w:rsidRDefault="009F3B8E" w:rsidP="009F3B8E">
      <w:pPr>
        <w:spacing w:after="0" w:line="360" w:lineRule="auto"/>
        <w:jc w:val="both"/>
      </w:pPr>
      <w:r w:rsidRPr="00941E99">
        <w:t xml:space="preserve">The second approach employed by </w:t>
      </w:r>
      <w:proofErr w:type="spellStart"/>
      <w:r w:rsidRPr="00941E99">
        <w:t>Nursi</w:t>
      </w:r>
      <w:proofErr w:type="spellEnd"/>
      <w:r w:rsidRPr="00941E99">
        <w:t xml:space="preserve"> becomes even more relevant with the need to locate the Islamic nation state in global geopolitics and analyse the external forces that aid in fixing up sharia’s centrality and more importantly, the understanding of it, in the making of an Islamic state. </w:t>
      </w:r>
      <w:r w:rsidR="007146D5">
        <w:t>As t</w:t>
      </w:r>
      <w:r w:rsidRPr="00941E99">
        <w:t>he nation state needs to promote an identity of its own in the international arena, in favour of its dominant interest,</w:t>
      </w:r>
      <w:r w:rsidR="007146D5">
        <w:t xml:space="preserve"> it</w:t>
      </w:r>
      <w:r w:rsidRPr="00941E99">
        <w:t xml:space="preserve"> clothes itself in the cultural and religious garb of sharia (branded as Islamic); even if both elements are in actuality instances of </w:t>
      </w:r>
      <w:proofErr w:type="spellStart"/>
      <w:r w:rsidRPr="00941E99">
        <w:t>Hobsbawm’s</w:t>
      </w:r>
      <w:proofErr w:type="spellEnd"/>
      <w:r w:rsidRPr="00941E99">
        <w:t xml:space="preserve"> invented traditions</w:t>
      </w:r>
      <w:r w:rsidRPr="00941E99">
        <w:rPr>
          <w:rStyle w:val="FootnoteReference"/>
        </w:rPr>
        <w:footnoteReference w:id="31"/>
      </w:r>
      <w:r w:rsidRPr="00941E99">
        <w:t xml:space="preserve">. As a result, there seems to be an inclination for political interests of these governments to favour symbol over substance. </w:t>
      </w:r>
    </w:p>
    <w:p w:rsidR="007146D5" w:rsidRDefault="007146D5" w:rsidP="009F3B8E">
      <w:pPr>
        <w:spacing w:after="0" w:line="360" w:lineRule="auto"/>
        <w:jc w:val="both"/>
      </w:pPr>
    </w:p>
    <w:p w:rsidR="009F3B8E" w:rsidRPr="00941E99" w:rsidRDefault="009F3B8E" w:rsidP="009F3B8E">
      <w:pPr>
        <w:spacing w:after="0" w:line="360" w:lineRule="auto"/>
        <w:jc w:val="both"/>
      </w:pPr>
      <w:r w:rsidRPr="00941E99">
        <w:t xml:space="preserve">Alluding to the contentious constitution by the Muslim Brotherhood, it has been argued that the constitution does not make up “a civil state with an Islamic reference… but an Islamic state with a </w:t>
      </w:r>
      <w:r w:rsidRPr="00941E99">
        <w:lastRenderedPageBreak/>
        <w:t>very thin veneer of civility”.</w:t>
      </w:r>
      <w:r w:rsidRPr="00941E99">
        <w:rPr>
          <w:rStyle w:val="FootnoteReference"/>
        </w:rPr>
        <w:footnoteReference w:id="32"/>
      </w:r>
      <w:r w:rsidRPr="00941E99">
        <w:t xml:space="preserve"> </w:t>
      </w:r>
      <w:r w:rsidR="007146D5">
        <w:t>Since</w:t>
      </w:r>
      <w:r w:rsidRPr="00941E99">
        <w:t xml:space="preserve"> nation states’ sense of territoriality is accentuated, legitimised, and made more popular among Muslim masses if it were to coloured in Islamic elements</w:t>
      </w:r>
      <w:r w:rsidR="007146D5">
        <w:t>; b</w:t>
      </w:r>
      <w:r w:rsidRPr="00941E99">
        <w:t xml:space="preserve">y default, anyone opposed to the idea of brandishing Islam as a cause for state creation is other-ed. </w:t>
      </w:r>
      <w:r w:rsidR="007146D5">
        <w:t>T</w:t>
      </w:r>
      <w:r w:rsidRPr="00941E99">
        <w:t xml:space="preserve">his can be seen from novel inclusions </w:t>
      </w:r>
      <w:r w:rsidR="007146D5">
        <w:t xml:space="preserve">within the failed constitution </w:t>
      </w:r>
      <w:r w:rsidRPr="00941E99">
        <w:t>such as a new article (44</w:t>
      </w:r>
      <w:r w:rsidR="007146D5">
        <w:t>) which states “i</w:t>
      </w:r>
      <w:r w:rsidRPr="00941E99">
        <w:t xml:space="preserve">nsulting prophets and messengers is forbidden”, which is liable to </w:t>
      </w:r>
      <w:proofErr w:type="spellStart"/>
      <w:r w:rsidRPr="00941E99">
        <w:t>target</w:t>
      </w:r>
      <w:r w:rsidR="007146D5">
        <w:t>ting</w:t>
      </w:r>
      <w:proofErr w:type="spellEnd"/>
      <w:r w:rsidRPr="00941E99">
        <w:t xml:space="preserve"> Christians and Muslims with heterodox views.</w:t>
      </w:r>
      <w:r w:rsidRPr="00941E99">
        <w:rPr>
          <w:rStyle w:val="FootnoteReference"/>
        </w:rPr>
        <w:footnoteReference w:id="33"/>
      </w:r>
      <w:r w:rsidRPr="00941E99">
        <w:t xml:space="preserve"> </w:t>
      </w:r>
      <w:r w:rsidR="007146D5">
        <w:t xml:space="preserve">Such </w:t>
      </w:r>
      <w:r w:rsidRPr="00941E99">
        <w:t xml:space="preserve">reassertion of Islamic political identity becomes increasingly complicated as states strive to manifest and constitutionalise their selection of perceived Islamic ideals. </w:t>
      </w:r>
    </w:p>
    <w:p w:rsidR="009F3B8E" w:rsidRPr="00941E99" w:rsidRDefault="009F3B8E" w:rsidP="009F3B8E">
      <w:pPr>
        <w:spacing w:after="0" w:line="360" w:lineRule="auto"/>
        <w:jc w:val="both"/>
      </w:pPr>
    </w:p>
    <w:p w:rsidR="009F3B8E" w:rsidRPr="00941E99" w:rsidRDefault="009F3B8E" w:rsidP="009F3B8E">
      <w:pPr>
        <w:spacing w:after="0" w:line="360" w:lineRule="auto"/>
        <w:jc w:val="both"/>
      </w:pPr>
      <w:r w:rsidRPr="00941E99">
        <w:t>Nevertheless, political opportunism would arguably not pose a problem, if it were not both (1) ideological as presented above and (2) utopian in nature. In utopian thinking “the collective unconscious, guided by wishful representation and the will to action, hides certain aspects of reality”</w:t>
      </w:r>
      <w:r w:rsidRPr="00941E99">
        <w:rPr>
          <w:rStyle w:val="FootnoteReference"/>
        </w:rPr>
        <w:footnoteReference w:id="34"/>
      </w:r>
      <w:r w:rsidRPr="00941E99">
        <w:t xml:space="preserve"> such that “their thought is never a diagnosis of the situation.” If the Muslim world is unable to attain progress, it is not due to the failings of the religion but the failings of the Muslim world specifically Islamic nation states, which </w:t>
      </w:r>
      <w:proofErr w:type="spellStart"/>
      <w:r w:rsidRPr="00941E99">
        <w:t>Nursi</w:t>
      </w:r>
      <w:proofErr w:type="spellEnd"/>
      <w:r w:rsidRPr="00941E99">
        <w:t xml:space="preserve"> does not advocate. </w:t>
      </w:r>
    </w:p>
    <w:p w:rsidR="009F3B8E" w:rsidRPr="00941E99" w:rsidRDefault="009F3B8E" w:rsidP="009F3B8E">
      <w:pPr>
        <w:spacing w:after="0" w:line="360" w:lineRule="auto"/>
        <w:jc w:val="both"/>
        <w:rPr>
          <w:color w:val="1F497D" w:themeColor="text2"/>
        </w:rPr>
      </w:pPr>
    </w:p>
    <w:p w:rsidR="009F3B8E" w:rsidRPr="00941E99" w:rsidRDefault="009F3B8E" w:rsidP="009F3B8E">
      <w:pPr>
        <w:spacing w:after="0" w:line="360" w:lineRule="auto"/>
        <w:jc w:val="both"/>
      </w:pPr>
      <w:r w:rsidRPr="00941E99">
        <w:t xml:space="preserve">On the contrary, his solution was not to impose, albeit reduce </w:t>
      </w:r>
      <w:proofErr w:type="spellStart"/>
      <w:r w:rsidRPr="00941E99">
        <w:t>shari’a</w:t>
      </w:r>
      <w:proofErr w:type="spellEnd"/>
      <w:r w:rsidRPr="00941E99">
        <w:t xml:space="preserve"> to its implementation within an Islamic state; —</w:t>
      </w:r>
      <w:r w:rsidRPr="00941E99">
        <w:rPr>
          <w:bCs/>
        </w:rPr>
        <w:t xml:space="preserve"> but by individuals themselves</w:t>
      </w:r>
      <w:r w:rsidRPr="00941E99">
        <w:t xml:space="preserve">. </w:t>
      </w:r>
      <w:proofErr w:type="spellStart"/>
      <w:r w:rsidR="007146D5">
        <w:t>Nursi</w:t>
      </w:r>
      <w:proofErr w:type="spellEnd"/>
      <w:r w:rsidRPr="00941E99">
        <w:t xml:space="preserve"> sought to uphold the overriding aims of </w:t>
      </w:r>
      <w:proofErr w:type="spellStart"/>
      <w:r w:rsidRPr="00941E99">
        <w:t>shari’a</w:t>
      </w:r>
      <w:proofErr w:type="spellEnd"/>
      <w:r w:rsidRPr="00941E99">
        <w:t xml:space="preserve"> (</w:t>
      </w:r>
      <w:proofErr w:type="spellStart"/>
      <w:r w:rsidRPr="00941E99">
        <w:rPr>
          <w:i/>
        </w:rPr>
        <w:t>maqasid</w:t>
      </w:r>
      <w:proofErr w:type="spellEnd"/>
      <w:r w:rsidRPr="00941E99">
        <w:rPr>
          <w:i/>
        </w:rPr>
        <w:t xml:space="preserve"> al-</w:t>
      </w:r>
      <w:proofErr w:type="spellStart"/>
      <w:r w:rsidRPr="00941E99">
        <w:rPr>
          <w:i/>
        </w:rPr>
        <w:t>shari</w:t>
      </w:r>
      <w:proofErr w:type="spellEnd"/>
      <w:r w:rsidRPr="00941E99">
        <w:t xml:space="preserve">’)—to preserve life, property, religious freedom, family, and knowledge. In his plans to reform the Turkish society, it was through individuals, whereby Islam was never a political project but a mode of thinking as well as a source of knowledge to achieve a harmonious society while adapting to the realities of modern life. </w:t>
      </w:r>
    </w:p>
    <w:p w:rsidR="009F3B8E" w:rsidRPr="00941E99" w:rsidRDefault="009F3B8E" w:rsidP="009F3B8E">
      <w:pPr>
        <w:spacing w:after="0" w:line="360" w:lineRule="auto"/>
        <w:jc w:val="both"/>
      </w:pPr>
    </w:p>
    <w:p w:rsidR="009F3B8E" w:rsidRPr="00941E99" w:rsidRDefault="009F3B8E" w:rsidP="009F3B8E">
      <w:pPr>
        <w:spacing w:after="0" w:line="360" w:lineRule="auto"/>
        <w:jc w:val="both"/>
      </w:pPr>
      <w:r w:rsidRPr="00941E99">
        <w:t>As such, “</w:t>
      </w:r>
      <w:proofErr w:type="spellStart"/>
      <w:r w:rsidRPr="00941E99">
        <w:t>Islamization</w:t>
      </w:r>
      <w:proofErr w:type="spellEnd"/>
      <w:r w:rsidRPr="00941E99">
        <w:t xml:space="preserve">” which more often than not erroneously implies an end-aim of establishing a </w:t>
      </w:r>
      <w:proofErr w:type="spellStart"/>
      <w:r w:rsidRPr="00941E99">
        <w:t>shari’a</w:t>
      </w:r>
      <w:proofErr w:type="spellEnd"/>
      <w:r w:rsidRPr="00941E99">
        <w:t xml:space="preserve">-compliant Islamic state can never be associated with a </w:t>
      </w:r>
      <w:proofErr w:type="spellStart"/>
      <w:r w:rsidRPr="00941E99">
        <w:t>Nursian</w:t>
      </w:r>
      <w:proofErr w:type="spellEnd"/>
      <w:r w:rsidRPr="00941E99">
        <w:t xml:space="preserve"> </w:t>
      </w:r>
      <w:proofErr w:type="spellStart"/>
      <w:r w:rsidRPr="00941E99">
        <w:t>endeavor</w:t>
      </w:r>
      <w:proofErr w:type="spellEnd"/>
      <w:r w:rsidRPr="00941E99">
        <w:t>. With such a</w:t>
      </w:r>
      <w:r w:rsidR="007146D5">
        <w:t xml:space="preserve"> literal</w:t>
      </w:r>
      <w:r w:rsidRPr="00941E99">
        <w:t xml:space="preserve"> approach taken, </w:t>
      </w:r>
      <w:r w:rsidR="007146D5">
        <w:t xml:space="preserve">it does not showcase any commitment to impress </w:t>
      </w:r>
      <w:r w:rsidRPr="00941E99">
        <w:t xml:space="preserve">upon Muslim consciousness on </w:t>
      </w:r>
      <w:r w:rsidR="007146D5">
        <w:t xml:space="preserve">either </w:t>
      </w:r>
      <w:r w:rsidRPr="00941E99">
        <w:t xml:space="preserve">removing exploitation </w:t>
      </w:r>
      <w:r w:rsidR="007146D5">
        <w:t xml:space="preserve">in line with principal values </w:t>
      </w:r>
      <w:r w:rsidRPr="00941E99">
        <w:t>of social justice and accountability. This thus brings us to the third approach which emphasises on the social significance of theology.</w:t>
      </w:r>
    </w:p>
    <w:p w:rsidR="009F3B8E" w:rsidRPr="00941E99" w:rsidRDefault="009F3B8E" w:rsidP="009F3B8E">
      <w:pPr>
        <w:spacing w:after="0" w:line="360" w:lineRule="auto"/>
        <w:jc w:val="both"/>
        <w:rPr>
          <w:b/>
          <w:highlight w:val="darkGray"/>
        </w:rPr>
      </w:pPr>
    </w:p>
    <w:p w:rsidR="009F3B8E" w:rsidRPr="00941E99" w:rsidRDefault="009F3B8E" w:rsidP="009F3B8E">
      <w:pPr>
        <w:spacing w:after="0" w:line="360" w:lineRule="auto"/>
        <w:jc w:val="both"/>
        <w:rPr>
          <w:b/>
        </w:rPr>
      </w:pPr>
      <w:r w:rsidRPr="00941E99">
        <w:rPr>
          <w:b/>
        </w:rPr>
        <w:t xml:space="preserve">Third Approach: Study of Theology’s Social Significance </w:t>
      </w:r>
    </w:p>
    <w:p w:rsidR="009F3B8E" w:rsidRPr="00941E99" w:rsidRDefault="009F3B8E" w:rsidP="009F3B8E">
      <w:pPr>
        <w:spacing w:after="0" w:line="360" w:lineRule="auto"/>
        <w:jc w:val="both"/>
      </w:pPr>
    </w:p>
    <w:p w:rsidR="009F3B8E" w:rsidRPr="00941E99" w:rsidRDefault="009F3B8E" w:rsidP="009F3B8E">
      <w:pPr>
        <w:spacing w:after="0" w:line="360" w:lineRule="auto"/>
        <w:ind w:left="567" w:right="567"/>
        <w:jc w:val="both"/>
      </w:pPr>
      <w:r w:rsidRPr="00941E99">
        <w:lastRenderedPageBreak/>
        <w:t>Here the possibility is explored that theology, even as a product of society, may in turn have an influence upon that society. If the previous approach regards theology as a dependent variable within society, this one allows for the possibility that theology may also act as an independent variable. Overall, theology is seen as a socially constructed reality – that is something that is both socially constructed and a social reality.</w:t>
      </w:r>
      <w:r w:rsidRPr="00941E99">
        <w:rPr>
          <w:rStyle w:val="FootnoteReference"/>
        </w:rPr>
        <w:footnoteReference w:id="35"/>
      </w:r>
      <w:r w:rsidRPr="00941E99">
        <w:t xml:space="preserve"> </w:t>
      </w:r>
    </w:p>
    <w:p w:rsidR="009F3B8E" w:rsidRPr="00941E99" w:rsidRDefault="009F3B8E" w:rsidP="009F3B8E">
      <w:pPr>
        <w:spacing w:after="0" w:line="360" w:lineRule="auto"/>
        <w:jc w:val="both"/>
      </w:pPr>
    </w:p>
    <w:p w:rsidR="009F3B8E" w:rsidRPr="00941E99" w:rsidRDefault="009F3B8E" w:rsidP="009F3B8E">
      <w:pPr>
        <w:spacing w:after="0" w:line="360" w:lineRule="auto"/>
        <w:jc w:val="both"/>
      </w:pPr>
      <w:r w:rsidRPr="00941E99">
        <w:t xml:space="preserve">Particular theological positions have, or even could have, particular effects upon society. Unlike his contemporaries, the paper suggests that </w:t>
      </w:r>
      <w:proofErr w:type="spellStart"/>
      <w:r w:rsidRPr="00941E99">
        <w:t>Nursi</w:t>
      </w:r>
      <w:proofErr w:type="spellEnd"/>
      <w:r w:rsidRPr="00941E99">
        <w:t xml:space="preserve"> was aware that with each theological outlook, there was to be social implications. As such, he was more </w:t>
      </w:r>
      <w:r w:rsidR="007146D5">
        <w:t>theologically vocal in</w:t>
      </w:r>
      <w:r w:rsidRPr="00941E99">
        <w:t xml:space="preserve"> the ‘social implications’ of the principle of unity of belief. With regards to the third approach, the paper attempts to show how </w:t>
      </w:r>
      <w:proofErr w:type="spellStart"/>
      <w:r w:rsidRPr="00941E99">
        <w:t>Nursi</w:t>
      </w:r>
      <w:proofErr w:type="spellEnd"/>
      <w:r w:rsidRPr="00941E99">
        <w:t xml:space="preserve"> expanded on interpreting the purity of belief in the context of its social meaning.</w:t>
      </w:r>
    </w:p>
    <w:p w:rsidR="009F3B8E" w:rsidRPr="00941E99" w:rsidRDefault="009F3B8E" w:rsidP="009F3B8E">
      <w:pPr>
        <w:spacing w:after="0" w:line="360" w:lineRule="auto"/>
        <w:jc w:val="both"/>
      </w:pPr>
    </w:p>
    <w:p w:rsidR="007146D5" w:rsidRDefault="009F3B8E" w:rsidP="007146D5">
      <w:pPr>
        <w:spacing w:after="0" w:line="360" w:lineRule="auto"/>
        <w:jc w:val="both"/>
      </w:pPr>
      <w:r w:rsidRPr="00941E99">
        <w:t xml:space="preserve">Up to the present, there have been no serious attempts to formulate Islamic doctrines regarding socio-economic and/or political issues. </w:t>
      </w:r>
      <w:proofErr w:type="gramStart"/>
      <w:r w:rsidR="007146D5">
        <w:t>Discussions on the</w:t>
      </w:r>
      <w:r w:rsidR="007146D5" w:rsidRPr="00941E99">
        <w:t xml:space="preserve"> concept of unity of belief</w:t>
      </w:r>
      <w:r w:rsidR="007146D5" w:rsidRPr="00941E99">
        <w:t xml:space="preserve"> </w:t>
      </w:r>
      <w:r w:rsidR="007146D5">
        <w:t>seems</w:t>
      </w:r>
      <w:proofErr w:type="gramEnd"/>
      <w:r w:rsidR="007146D5">
        <w:t xml:space="preserve"> to be </w:t>
      </w:r>
      <w:r w:rsidRPr="00941E99">
        <w:t xml:space="preserve">restricted to a </w:t>
      </w:r>
      <w:r w:rsidR="007146D5">
        <w:t xml:space="preserve">rigid </w:t>
      </w:r>
      <w:r w:rsidRPr="00941E99">
        <w:t xml:space="preserve">interpretation </w:t>
      </w:r>
      <w:r w:rsidR="007146D5">
        <w:t xml:space="preserve">of </w:t>
      </w:r>
      <w:r w:rsidRPr="00941E99">
        <w:t xml:space="preserve">abstract moral values. For instance, </w:t>
      </w:r>
      <w:proofErr w:type="spellStart"/>
      <w:r w:rsidRPr="00941E99">
        <w:t>Fazlur</w:t>
      </w:r>
      <w:proofErr w:type="spellEnd"/>
      <w:r w:rsidRPr="00941E99">
        <w:t xml:space="preserve"> Rahman writing in 1970 noted that “even after twenty three years of declared constitutional attempts at an Islamic state, Pakistanis are not only no nearer any actual solution of the problems of economic justice, but should even have no clearer idea as to how Islam ties up with economic life”.</w:t>
      </w:r>
      <w:r w:rsidRPr="00941E99">
        <w:rPr>
          <w:rStyle w:val="FootnoteReference"/>
        </w:rPr>
        <w:footnoteReference w:id="36"/>
      </w:r>
      <w:r w:rsidR="007146D5">
        <w:t xml:space="preserve"> </w:t>
      </w:r>
      <w:r w:rsidRPr="00941E99">
        <w:t>Such problems prevalent</w:t>
      </w:r>
      <w:r w:rsidR="007146D5">
        <w:t xml:space="preserve"> till today,</w:t>
      </w:r>
      <w:r w:rsidRPr="00941E99">
        <w:t xml:space="preserve"> seen in the </w:t>
      </w:r>
      <w:proofErr w:type="spellStart"/>
      <w:r w:rsidRPr="00941E99">
        <w:t>mindset</w:t>
      </w:r>
      <w:proofErr w:type="spellEnd"/>
      <w:r w:rsidRPr="00941E99">
        <w:t xml:space="preserve"> where</w:t>
      </w:r>
      <w:r w:rsidR="007146D5">
        <w:t>:</w:t>
      </w:r>
    </w:p>
    <w:p w:rsidR="007146D5" w:rsidRDefault="007146D5" w:rsidP="007146D5">
      <w:pPr>
        <w:spacing w:after="0" w:line="360" w:lineRule="auto"/>
        <w:jc w:val="both"/>
      </w:pPr>
    </w:p>
    <w:p w:rsidR="007146D5" w:rsidRDefault="009F3B8E" w:rsidP="007146D5">
      <w:pPr>
        <w:spacing w:after="0" w:line="360" w:lineRule="auto"/>
        <w:ind w:left="567" w:right="567"/>
        <w:jc w:val="both"/>
      </w:pPr>
      <w:r w:rsidRPr="00941E99">
        <w:t>Muslims do not feel obligated to offer better living wages, decent work hours and proper social welfare benefits. As far as they are concerned, if a factory or workshop has a prayer house for its Muslim workers to perform their religious obligations they will feel they have fulfilled their responsibilities.”</w:t>
      </w:r>
      <w:r w:rsidRPr="00941E99">
        <w:rPr>
          <w:rStyle w:val="FootnoteReference"/>
        </w:rPr>
        <w:footnoteReference w:id="37"/>
      </w:r>
      <w:r w:rsidRPr="00941E99">
        <w:t xml:space="preserve"> </w:t>
      </w:r>
    </w:p>
    <w:p w:rsidR="007146D5" w:rsidRDefault="007146D5" w:rsidP="007146D5">
      <w:pPr>
        <w:spacing w:after="0" w:line="360" w:lineRule="auto"/>
        <w:jc w:val="both"/>
      </w:pPr>
    </w:p>
    <w:p w:rsidR="009F3B8E" w:rsidRDefault="009F3B8E" w:rsidP="007146D5">
      <w:pPr>
        <w:spacing w:after="0" w:line="360" w:lineRule="auto"/>
        <w:jc w:val="both"/>
      </w:pPr>
      <w:r w:rsidRPr="00941E99">
        <w:t xml:space="preserve">Such </w:t>
      </w:r>
      <w:r w:rsidR="00672D28">
        <w:t xml:space="preserve">resultant </w:t>
      </w:r>
      <w:r w:rsidRPr="00941E99">
        <w:t xml:space="preserve">dichotomous thinking </w:t>
      </w:r>
      <w:r w:rsidR="007146D5">
        <w:t>requires i</w:t>
      </w:r>
      <w:r w:rsidRPr="00941E99">
        <w:t xml:space="preserve">nterpretations of Islam to move </w:t>
      </w:r>
      <w:r w:rsidR="007146D5">
        <w:t xml:space="preserve">from primarily a realm </w:t>
      </w:r>
      <w:r w:rsidRPr="00941E99">
        <w:t xml:space="preserve">of spirituality and connect with social problems. </w:t>
      </w:r>
    </w:p>
    <w:p w:rsidR="007146D5" w:rsidRPr="00941E99" w:rsidRDefault="007146D5" w:rsidP="007146D5">
      <w:pPr>
        <w:spacing w:after="0" w:line="360" w:lineRule="auto"/>
        <w:jc w:val="both"/>
      </w:pPr>
    </w:p>
    <w:p w:rsidR="009F3B8E" w:rsidRDefault="009F3B8E" w:rsidP="009F3B8E">
      <w:pPr>
        <w:spacing w:after="0" w:line="360" w:lineRule="auto"/>
        <w:jc w:val="both"/>
      </w:pPr>
      <w:r w:rsidRPr="00941E99">
        <w:t xml:space="preserve">On the contrary, </w:t>
      </w:r>
      <w:proofErr w:type="spellStart"/>
      <w:r w:rsidRPr="00941E99">
        <w:t>Nursi</w:t>
      </w:r>
      <w:proofErr w:type="spellEnd"/>
      <w:r w:rsidRPr="00941E99">
        <w:t xml:space="preserve"> had already noted the social significance of theology, seen in his conceptualization of the true belief in the oneness of God is one which continues to be reflected in virtues in Muslims’ daily life, including their awareness of social justice. Firstly, one of the social </w:t>
      </w:r>
      <w:r w:rsidRPr="00941E99">
        <w:lastRenderedPageBreak/>
        <w:t xml:space="preserve">injustices highlighted in the </w:t>
      </w:r>
      <w:proofErr w:type="spellStart"/>
      <w:r w:rsidRPr="00941E99">
        <w:t>Risale</w:t>
      </w:r>
      <w:proofErr w:type="spellEnd"/>
      <w:r w:rsidRPr="00941E99">
        <w:t xml:space="preserve"> was the conditions of poverty among large segments of the population due to mass consumerism. He summarises the root cause of the social upheavals man has suffered, particularly this century, in two phrases. One is: "So long as I'm full, what is it to me if others die of hunger?" And the other is: "You struggle and labour so that I can live in ease and comfort."</w:t>
      </w:r>
      <w:r w:rsidR="007146D5">
        <w:rPr>
          <w:rStyle w:val="FootnoteReference"/>
        </w:rPr>
        <w:footnoteReference w:id="38"/>
      </w:r>
    </w:p>
    <w:p w:rsidR="009F3B8E" w:rsidRPr="00941E99" w:rsidRDefault="009F3B8E" w:rsidP="009F3B8E">
      <w:pPr>
        <w:spacing w:after="0" w:line="360" w:lineRule="auto"/>
        <w:jc w:val="both"/>
      </w:pPr>
    </w:p>
    <w:p w:rsidR="009F3B8E" w:rsidRPr="00941E99" w:rsidRDefault="009F3B8E" w:rsidP="009F3B8E">
      <w:pPr>
        <w:spacing w:after="0" w:line="360" w:lineRule="auto"/>
        <w:jc w:val="both"/>
      </w:pPr>
      <w:r w:rsidRPr="00941E99">
        <w:t xml:space="preserve">Granted, while stratification and inequalities are part of a society’s social structure, </w:t>
      </w:r>
      <w:proofErr w:type="spellStart"/>
      <w:r w:rsidRPr="00941E99">
        <w:t>Nursi</w:t>
      </w:r>
      <w:proofErr w:type="spellEnd"/>
      <w:r w:rsidRPr="00941E99">
        <w:t xml:space="preserve"> was visibly concerned with the economic injustices and uneven power distribution in society. The cleavage rich-poor </w:t>
      </w:r>
      <w:r w:rsidR="00591CAE" w:rsidRPr="00941E99">
        <w:t>disparities violate</w:t>
      </w:r>
      <w:r w:rsidRPr="00941E99">
        <w:t xml:space="preserve"> the truth of oneness of belief. Furthermore, economic disequilibrium was seen to be the chief cause of social discord. And this can be traced back to the prosperous commercial town of pre-Islamic Mecca from the </w:t>
      </w:r>
      <w:proofErr w:type="spellStart"/>
      <w:r w:rsidRPr="00941E99">
        <w:t>Quranic</w:t>
      </w:r>
      <w:proofErr w:type="spellEnd"/>
      <w:r w:rsidRPr="00941E99">
        <w:t xml:space="preserve"> verses of chapter 104 and 107. The introduction of Islam </w:t>
      </w:r>
      <w:proofErr w:type="gramStart"/>
      <w:r w:rsidRPr="00941E99">
        <w:t>then,</w:t>
      </w:r>
      <w:proofErr w:type="gramEnd"/>
      <w:r w:rsidRPr="00941E99">
        <w:t xml:space="preserve"> emerged as revolutionary with its “great emphasis on knowledge, social and economic justice through redistribution of wealth to the weaker sections of society, and moral and spiritual uplift”.</w:t>
      </w:r>
      <w:r w:rsidRPr="00941E99">
        <w:rPr>
          <w:rStyle w:val="FootnoteReference"/>
        </w:rPr>
        <w:footnoteReference w:id="39"/>
      </w:r>
      <w:r w:rsidR="00591CAE">
        <w:t xml:space="preserve"> Nevertheless</w:t>
      </w:r>
      <w:r w:rsidRPr="00941E99">
        <w:t xml:space="preserve">, the remedy for the injustice </w:t>
      </w:r>
      <w:r w:rsidR="00591CAE">
        <w:t xml:space="preserve">which </w:t>
      </w:r>
      <w:proofErr w:type="spellStart"/>
      <w:r w:rsidR="00591CAE">
        <w:t>Nursi</w:t>
      </w:r>
      <w:proofErr w:type="spellEnd"/>
      <w:r w:rsidR="00591CAE">
        <w:t xml:space="preserve"> observes </w:t>
      </w:r>
      <w:r w:rsidRPr="00941E99">
        <w:t xml:space="preserve">inherent in Western civilization </w:t>
      </w:r>
      <w:r w:rsidR="00591CAE">
        <w:t>is in</w:t>
      </w:r>
      <w:r w:rsidRPr="00941E99">
        <w:t xml:space="preserve"> Islam. The solution he proposes is making payment of </w:t>
      </w:r>
      <w:proofErr w:type="spellStart"/>
      <w:r w:rsidRPr="00941E99">
        <w:t>zekat</w:t>
      </w:r>
      <w:proofErr w:type="spellEnd"/>
      <w:r w:rsidRPr="00941E99">
        <w:t xml:space="preserve"> obligatory and prohibiting interest, which would maintain order and balance between the rich and the poor in society.</w:t>
      </w:r>
    </w:p>
    <w:p w:rsidR="009F3B8E" w:rsidRDefault="00672D28" w:rsidP="009F3B8E">
      <w:pPr>
        <w:spacing w:before="100" w:beforeAutospacing="1" w:after="100" w:afterAutospacing="1" w:line="360" w:lineRule="auto"/>
        <w:jc w:val="both"/>
        <w:rPr>
          <w:rFonts w:cs="Times New Roman"/>
        </w:rPr>
      </w:pPr>
      <w:r>
        <w:rPr>
          <w:rFonts w:cs="Times New Roman"/>
        </w:rPr>
        <w:t>In conclusion, w</w:t>
      </w:r>
      <w:r w:rsidR="009F3B8E" w:rsidRPr="00941E99">
        <w:rPr>
          <w:rFonts w:cs="Times New Roman"/>
        </w:rPr>
        <w:t xml:space="preserve">hile religion was revealed through His prophets, it was to enter domains of culture and subjectivity – with which it was to be understood as well as observed. And when religion intersects with human subjectivity, the result is one that is historically particular and culturally relative. Progress in religious knowledge therefore lies in human understanding of the physical world such as science and new shared values of societies such as </w:t>
      </w:r>
      <w:proofErr w:type="spellStart"/>
      <w:r w:rsidR="009F3B8E" w:rsidRPr="00941E99">
        <w:rPr>
          <w:rFonts w:cs="Times New Roman"/>
        </w:rPr>
        <w:t>sociopolitical</w:t>
      </w:r>
      <w:proofErr w:type="spellEnd"/>
      <w:r w:rsidR="009F3B8E" w:rsidRPr="00941E99">
        <w:rPr>
          <w:rFonts w:cs="Times New Roman"/>
        </w:rPr>
        <w:t xml:space="preserve"> rights. The paper has thus demonstrated that </w:t>
      </w:r>
      <w:proofErr w:type="spellStart"/>
      <w:r w:rsidR="009F3B8E" w:rsidRPr="00941E99">
        <w:rPr>
          <w:rFonts w:cs="Times New Roman"/>
        </w:rPr>
        <w:t>Bediuzamman</w:t>
      </w:r>
      <w:proofErr w:type="spellEnd"/>
      <w:r w:rsidR="009F3B8E" w:rsidRPr="00941E99">
        <w:rPr>
          <w:rFonts w:cs="Times New Roman"/>
        </w:rPr>
        <w:t xml:space="preserve"> Said </w:t>
      </w:r>
      <w:proofErr w:type="spellStart"/>
      <w:r w:rsidR="009F3B8E" w:rsidRPr="00941E99">
        <w:rPr>
          <w:rFonts w:cs="Times New Roman"/>
        </w:rPr>
        <w:t>Nursi</w:t>
      </w:r>
      <w:proofErr w:type="spellEnd"/>
      <w:r w:rsidR="009F3B8E" w:rsidRPr="00941E99">
        <w:rPr>
          <w:rFonts w:cs="Times New Roman"/>
        </w:rPr>
        <w:t xml:space="preserve"> employs the important discourse of a sociologically–informed </w:t>
      </w:r>
      <w:r w:rsidRPr="00941E99">
        <w:rPr>
          <w:rFonts w:cs="Times New Roman"/>
        </w:rPr>
        <w:t>discourse</w:t>
      </w:r>
      <w:r w:rsidR="009F3B8E" w:rsidRPr="00941E99">
        <w:rPr>
          <w:rFonts w:cs="Times New Roman"/>
        </w:rPr>
        <w:t>, which is arguably a prophetic tradition in understanding Islam</w:t>
      </w:r>
      <w:r w:rsidR="009F3B8E">
        <w:rPr>
          <w:rFonts w:cs="Times New Roman"/>
        </w:rPr>
        <w:t>.</w:t>
      </w:r>
    </w:p>
    <w:p w:rsidR="00591CAE" w:rsidRDefault="00672D28" w:rsidP="00591CAE">
      <w:pPr>
        <w:spacing w:line="360" w:lineRule="auto"/>
        <w:jc w:val="both"/>
      </w:pPr>
      <w:r>
        <w:t xml:space="preserve">Specifically </w:t>
      </w:r>
      <w:proofErr w:type="spellStart"/>
      <w:r>
        <w:t>Nursi</w:t>
      </w:r>
      <w:proofErr w:type="spellEnd"/>
      <w:r>
        <w:t xml:space="preserve">, </w:t>
      </w:r>
      <w:r w:rsidR="00591CAE" w:rsidRPr="00941E99">
        <w:t>using th</w:t>
      </w:r>
      <w:r>
        <w:t xml:space="preserve">e three sociological approaches, </w:t>
      </w:r>
      <w:r w:rsidR="00591CAE" w:rsidRPr="00941E99">
        <w:t xml:space="preserve">has been faithfully continuing the prophetic traditions in maintaining truth in its plural ways. While he had no sociological background, he was able to apply methods such as sociology of knowledge, the concept of ideology and was akin to comparing the differing social structure. Continued relevance of the </w:t>
      </w:r>
      <w:proofErr w:type="spellStart"/>
      <w:r w:rsidR="00591CAE" w:rsidRPr="00941E99">
        <w:t>Risale-i</w:t>
      </w:r>
      <w:proofErr w:type="spellEnd"/>
      <w:r w:rsidR="00591CAE" w:rsidRPr="00941E99">
        <w:t xml:space="preserve"> </w:t>
      </w:r>
      <w:proofErr w:type="spellStart"/>
      <w:r w:rsidR="00591CAE" w:rsidRPr="00941E99">
        <w:t>Nur</w:t>
      </w:r>
      <w:proofErr w:type="spellEnd"/>
      <w:r w:rsidR="00591CAE" w:rsidRPr="00941E99">
        <w:t xml:space="preserve"> has </w:t>
      </w:r>
      <w:r>
        <w:t xml:space="preserve">thus </w:t>
      </w:r>
      <w:r w:rsidR="00591CAE" w:rsidRPr="00941E99">
        <w:t xml:space="preserve">made him famous as the founder of the </w:t>
      </w:r>
      <w:proofErr w:type="spellStart"/>
      <w:r w:rsidR="00591CAE" w:rsidRPr="00941E99">
        <w:t>Nurcu</w:t>
      </w:r>
      <w:proofErr w:type="spellEnd"/>
      <w:r w:rsidR="00591CAE" w:rsidRPr="00941E99">
        <w:t xml:space="preserve"> movement, the most powerful text-based faith movement in contemporary Turkey.  </w:t>
      </w:r>
    </w:p>
    <w:p w:rsidR="009F3B8E" w:rsidRPr="00591CAE" w:rsidRDefault="00672D28" w:rsidP="00591CAE">
      <w:pPr>
        <w:spacing w:line="360" w:lineRule="auto"/>
        <w:jc w:val="both"/>
      </w:pPr>
      <w:r>
        <w:rPr>
          <w:rFonts w:cs="Times New Roman"/>
        </w:rPr>
        <w:lastRenderedPageBreak/>
        <w:t>W</w:t>
      </w:r>
      <w:bookmarkStart w:id="0" w:name="_GoBack"/>
      <w:bookmarkEnd w:id="0"/>
      <w:r w:rsidR="009F3B8E" w:rsidRPr="00941E99">
        <w:rPr>
          <w:rFonts w:cs="Times New Roman"/>
        </w:rPr>
        <w:t xml:space="preserve">ith the </w:t>
      </w:r>
      <w:proofErr w:type="spellStart"/>
      <w:r w:rsidR="009F3B8E" w:rsidRPr="00941E99">
        <w:rPr>
          <w:rFonts w:cs="Times New Roman"/>
        </w:rPr>
        <w:t>sociopolitical</w:t>
      </w:r>
      <w:proofErr w:type="spellEnd"/>
      <w:r w:rsidR="009F3B8E" w:rsidRPr="00941E99">
        <w:rPr>
          <w:rFonts w:cs="Times New Roman"/>
        </w:rPr>
        <w:t xml:space="preserve"> changes from the time of last prophet Muhammad, </w:t>
      </w:r>
      <w:proofErr w:type="spellStart"/>
      <w:r w:rsidR="009F3B8E" w:rsidRPr="00941E99">
        <w:rPr>
          <w:rFonts w:cs="Times New Roman"/>
        </w:rPr>
        <w:t>Nursi</w:t>
      </w:r>
      <w:proofErr w:type="spellEnd"/>
      <w:r w:rsidR="009F3B8E" w:rsidRPr="00941E99">
        <w:rPr>
          <w:rFonts w:cs="Times New Roman"/>
        </w:rPr>
        <w:t xml:space="preserve"> redefines Islam in a new social sphere; where religion becomes conceived in emerging forms of knowledge, shaping itself to the realities of modernity. In an era where the look for a certain form of Islam becomes crucial, a balance is needed in the relationship between values, ideals, and applicability, in the context of uprisings now more than ever. </w:t>
      </w:r>
      <w:proofErr w:type="spellStart"/>
      <w:r w:rsidR="009F3B8E" w:rsidRPr="00941E99">
        <w:rPr>
          <w:rFonts w:cs="Times New Roman"/>
        </w:rPr>
        <w:t>Nursi’s</w:t>
      </w:r>
      <w:proofErr w:type="spellEnd"/>
      <w:r w:rsidR="009F3B8E" w:rsidRPr="00941E99">
        <w:rPr>
          <w:rFonts w:cs="Times New Roman"/>
        </w:rPr>
        <w:t xml:space="preserve"> reintroduction of religion in the social sphere focusing on social awareness rather than politics thereby effectively contributes to new understandings of Islam. </w:t>
      </w:r>
    </w:p>
    <w:p w:rsidR="009F3B8E" w:rsidRPr="00941E99" w:rsidRDefault="009F3B8E" w:rsidP="009F3B8E">
      <w:pPr>
        <w:spacing w:after="0" w:line="360" w:lineRule="auto"/>
        <w:jc w:val="both"/>
        <w:rPr>
          <w:b/>
          <w:highlight w:val="darkGray"/>
        </w:rPr>
      </w:pPr>
    </w:p>
    <w:p w:rsidR="009F3B8E" w:rsidRPr="00941E99" w:rsidRDefault="009F3B8E" w:rsidP="009F3B8E">
      <w:pPr>
        <w:spacing w:line="360" w:lineRule="auto"/>
      </w:pPr>
    </w:p>
    <w:p w:rsidR="009F3B8E" w:rsidRPr="00941E99" w:rsidRDefault="009F3B8E" w:rsidP="009F3B8E">
      <w:pPr>
        <w:spacing w:line="360" w:lineRule="auto"/>
      </w:pPr>
    </w:p>
    <w:p w:rsidR="00F27B2C" w:rsidRDefault="00320F00"/>
    <w:sectPr w:rsidR="00F27B2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0F00" w:rsidRDefault="00320F00" w:rsidP="009F3B8E">
      <w:pPr>
        <w:spacing w:after="0" w:line="240" w:lineRule="auto"/>
      </w:pPr>
      <w:r>
        <w:separator/>
      </w:r>
    </w:p>
  </w:endnote>
  <w:endnote w:type="continuationSeparator" w:id="0">
    <w:p w:rsidR="00320F00" w:rsidRDefault="00320F00" w:rsidP="009F3B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50916990"/>
      <w:docPartObj>
        <w:docPartGallery w:val="Page Numbers (Bottom of Page)"/>
        <w:docPartUnique/>
      </w:docPartObj>
    </w:sdtPr>
    <w:sdtEndPr>
      <w:rPr>
        <w:noProof/>
        <w:sz w:val="18"/>
      </w:rPr>
    </w:sdtEndPr>
    <w:sdtContent>
      <w:p w:rsidR="00941E99" w:rsidRPr="00941E99" w:rsidRDefault="00320F00">
        <w:pPr>
          <w:pStyle w:val="Footer"/>
          <w:jc w:val="right"/>
          <w:rPr>
            <w:sz w:val="18"/>
          </w:rPr>
        </w:pPr>
        <w:r w:rsidRPr="00941E99">
          <w:rPr>
            <w:sz w:val="18"/>
          </w:rPr>
          <w:fldChar w:fldCharType="begin"/>
        </w:r>
        <w:r w:rsidRPr="00941E99">
          <w:rPr>
            <w:sz w:val="18"/>
          </w:rPr>
          <w:instrText xml:space="preserve"> PAGE   \* MERGEFORMAT </w:instrText>
        </w:r>
        <w:r w:rsidRPr="00941E99">
          <w:rPr>
            <w:sz w:val="18"/>
          </w:rPr>
          <w:fldChar w:fldCharType="separate"/>
        </w:r>
        <w:r w:rsidR="00672D28">
          <w:rPr>
            <w:noProof/>
            <w:sz w:val="18"/>
          </w:rPr>
          <w:t>11</w:t>
        </w:r>
        <w:r w:rsidRPr="00941E99">
          <w:rPr>
            <w:noProof/>
            <w:sz w:val="18"/>
          </w:rPr>
          <w:fldChar w:fldCharType="end"/>
        </w:r>
      </w:p>
    </w:sdtContent>
  </w:sdt>
  <w:p w:rsidR="00941E99" w:rsidRDefault="00320F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0F00" w:rsidRDefault="00320F00" w:rsidP="009F3B8E">
      <w:pPr>
        <w:spacing w:after="0" w:line="240" w:lineRule="auto"/>
      </w:pPr>
      <w:r>
        <w:separator/>
      </w:r>
    </w:p>
  </w:footnote>
  <w:footnote w:type="continuationSeparator" w:id="0">
    <w:p w:rsidR="00320F00" w:rsidRDefault="00320F00" w:rsidP="009F3B8E">
      <w:pPr>
        <w:spacing w:after="0" w:line="240" w:lineRule="auto"/>
      </w:pPr>
      <w:r>
        <w:continuationSeparator/>
      </w:r>
    </w:p>
  </w:footnote>
  <w:footnote w:id="1">
    <w:p w:rsidR="009F3B8E" w:rsidRPr="00FE7C2A" w:rsidRDefault="009F3B8E" w:rsidP="009F3B8E">
      <w:pPr>
        <w:spacing w:after="0" w:line="240" w:lineRule="auto"/>
        <w:rPr>
          <w:sz w:val="16"/>
          <w:szCs w:val="16"/>
        </w:rPr>
      </w:pPr>
      <w:r w:rsidRPr="00FE7C2A">
        <w:rPr>
          <w:rStyle w:val="FootnoteReference"/>
          <w:rFonts w:asciiTheme="majorBidi" w:hAnsiTheme="majorBidi" w:cstheme="majorBidi"/>
          <w:sz w:val="16"/>
          <w:szCs w:val="16"/>
        </w:rPr>
        <w:footnoteRef/>
      </w:r>
      <w:r w:rsidRPr="00FE7C2A">
        <w:rPr>
          <w:rFonts w:asciiTheme="majorBidi" w:hAnsiTheme="majorBidi" w:cstheme="majorBidi"/>
          <w:sz w:val="16"/>
          <w:szCs w:val="16"/>
        </w:rPr>
        <w:t xml:space="preserve"> </w:t>
      </w:r>
      <w:r w:rsidRPr="00FE7C2A">
        <w:rPr>
          <w:rFonts w:asciiTheme="majorBidi" w:eastAsia="TimesNewRoman" w:hAnsiTheme="majorBidi" w:cstheme="majorBidi"/>
          <w:sz w:val="16"/>
          <w:szCs w:val="16"/>
          <w:lang w:val="tr-TR"/>
        </w:rPr>
        <w:t>Robin Gill, “Sociology Assessing Theology,” Robin Gill</w:t>
      </w:r>
      <w:r w:rsidRPr="00FE7C2A">
        <w:rPr>
          <w:rFonts w:asciiTheme="majorBidi" w:eastAsia="TimesNewRoman" w:hAnsiTheme="majorBidi" w:cstheme="majorBidi"/>
          <w:sz w:val="16"/>
          <w:szCs w:val="16"/>
          <w:lang w:eastAsia="tr-TR"/>
        </w:rPr>
        <w:t xml:space="preserve">, ed., Theology and Sociology: A Reader. </w:t>
      </w:r>
      <w:proofErr w:type="gramStart"/>
      <w:r w:rsidRPr="00FE7C2A">
        <w:rPr>
          <w:rFonts w:asciiTheme="majorBidi" w:eastAsia="TimesNewRoman" w:hAnsiTheme="majorBidi" w:cstheme="majorBidi"/>
          <w:sz w:val="16"/>
          <w:szCs w:val="16"/>
          <w:lang w:eastAsia="tr-TR"/>
        </w:rPr>
        <w:t xml:space="preserve">(London: </w:t>
      </w:r>
      <w:proofErr w:type="spellStart"/>
      <w:r w:rsidRPr="00FE7C2A">
        <w:rPr>
          <w:rFonts w:asciiTheme="majorBidi" w:eastAsia="TimesNewRoman" w:hAnsiTheme="majorBidi" w:cstheme="majorBidi"/>
          <w:sz w:val="16"/>
          <w:szCs w:val="16"/>
          <w:lang w:eastAsia="tr-TR"/>
        </w:rPr>
        <w:t>Cassell</w:t>
      </w:r>
      <w:proofErr w:type="spellEnd"/>
      <w:r w:rsidRPr="00FE7C2A">
        <w:rPr>
          <w:rFonts w:asciiTheme="majorBidi" w:eastAsia="TimesNewRoman" w:hAnsiTheme="majorBidi" w:cstheme="majorBidi"/>
          <w:sz w:val="16"/>
          <w:szCs w:val="16"/>
          <w:lang w:eastAsia="tr-TR"/>
        </w:rPr>
        <w:t>, 1996), 145.</w:t>
      </w:r>
      <w:proofErr w:type="gramEnd"/>
      <w:r w:rsidRPr="00FE7C2A">
        <w:rPr>
          <w:rFonts w:asciiTheme="majorBidi" w:eastAsia="TimesNewRoman" w:hAnsiTheme="majorBidi" w:cstheme="majorBidi"/>
          <w:sz w:val="16"/>
          <w:szCs w:val="16"/>
          <w:lang w:eastAsia="tr-TR"/>
        </w:rPr>
        <w:t xml:space="preserve"> </w:t>
      </w:r>
    </w:p>
  </w:footnote>
  <w:footnote w:id="2">
    <w:p w:rsidR="009F3B8E" w:rsidRPr="00FE7C2A" w:rsidRDefault="009F3B8E" w:rsidP="009F3B8E">
      <w:pPr>
        <w:pStyle w:val="FootnoteText"/>
        <w:rPr>
          <w:rFonts w:ascii="Times New Roman" w:hAnsi="Times New Roman" w:cs="Times New Roman"/>
          <w:sz w:val="16"/>
          <w:szCs w:val="16"/>
          <w:lang w:val="en-GB"/>
        </w:rPr>
      </w:pPr>
      <w:r w:rsidRPr="00FE7C2A">
        <w:rPr>
          <w:rStyle w:val="FootnoteReference"/>
          <w:rFonts w:ascii="Times New Roman" w:hAnsi="Times New Roman" w:cs="Times New Roman"/>
          <w:sz w:val="16"/>
          <w:szCs w:val="16"/>
        </w:rPr>
        <w:footnoteRef/>
      </w:r>
      <w:r w:rsidRPr="00FE7C2A">
        <w:rPr>
          <w:rFonts w:ascii="Times New Roman" w:hAnsi="Times New Roman" w:cs="Times New Roman"/>
          <w:sz w:val="16"/>
          <w:szCs w:val="16"/>
        </w:rPr>
        <w:t xml:space="preserve"> </w:t>
      </w:r>
      <w:proofErr w:type="gramStart"/>
      <w:r w:rsidRPr="00FE7C2A">
        <w:rPr>
          <w:rFonts w:ascii="Times New Roman" w:hAnsi="Times New Roman" w:cs="Times New Roman"/>
          <w:sz w:val="16"/>
          <w:szCs w:val="16"/>
        </w:rPr>
        <w:t>Nurhidayahti Mohammad Miharja</w:t>
      </w:r>
      <w:r w:rsidRPr="00FE7C2A">
        <w:rPr>
          <w:rFonts w:ascii="Times New Roman" w:hAnsi="Times New Roman" w:cs="Times New Roman"/>
          <w:sz w:val="16"/>
          <w:szCs w:val="16"/>
          <w:lang w:val="en-GB"/>
        </w:rPr>
        <w:t>, “</w:t>
      </w:r>
      <w:r w:rsidRPr="00FE7C2A">
        <w:rPr>
          <w:rFonts w:ascii="Times New Roman" w:hAnsi="Times New Roman" w:cs="Times New Roman"/>
          <w:sz w:val="16"/>
          <w:szCs w:val="16"/>
        </w:rPr>
        <w:t xml:space="preserve">Said </w:t>
      </w:r>
      <w:proofErr w:type="spellStart"/>
      <w:r w:rsidRPr="00FE7C2A">
        <w:rPr>
          <w:rFonts w:ascii="Times New Roman" w:hAnsi="Times New Roman" w:cs="Times New Roman"/>
          <w:sz w:val="16"/>
          <w:szCs w:val="16"/>
        </w:rPr>
        <w:t>Nursi</w:t>
      </w:r>
      <w:proofErr w:type="spellEnd"/>
      <w:r w:rsidRPr="00FE7C2A">
        <w:rPr>
          <w:rFonts w:ascii="Times New Roman" w:hAnsi="Times New Roman" w:cs="Times New Roman"/>
          <w:sz w:val="16"/>
          <w:szCs w:val="16"/>
        </w:rPr>
        <w:t xml:space="preserve"> and the Concept of Progress</w:t>
      </w:r>
      <w:r w:rsidRPr="00FE7C2A">
        <w:rPr>
          <w:rFonts w:ascii="Times New Roman" w:hAnsi="Times New Roman" w:cs="Times New Roman"/>
          <w:sz w:val="16"/>
          <w:szCs w:val="16"/>
          <w:lang w:val="en-GB"/>
        </w:rPr>
        <w:t xml:space="preserve">,” </w:t>
      </w:r>
      <w:proofErr w:type="spellStart"/>
      <w:r>
        <w:rPr>
          <w:rFonts w:ascii="Times New Roman" w:hAnsi="Times New Roman" w:cs="Times New Roman"/>
          <w:sz w:val="16"/>
          <w:szCs w:val="16"/>
          <w:lang w:val="en-GB"/>
        </w:rPr>
        <w:t>Nursi</w:t>
      </w:r>
      <w:proofErr w:type="spellEnd"/>
      <w:r>
        <w:rPr>
          <w:rFonts w:ascii="Times New Roman" w:hAnsi="Times New Roman" w:cs="Times New Roman"/>
          <w:sz w:val="16"/>
          <w:szCs w:val="16"/>
          <w:lang w:val="en-GB"/>
        </w:rPr>
        <w:t xml:space="preserve"> Studies</w:t>
      </w:r>
      <w:r w:rsidRPr="00FE7C2A">
        <w:rPr>
          <w:rFonts w:ascii="Times New Roman" w:hAnsi="Times New Roman" w:cs="Times New Roman"/>
          <w:sz w:val="16"/>
          <w:szCs w:val="16"/>
          <w:lang w:val="en-GB"/>
        </w:rPr>
        <w:t>,</w:t>
      </w:r>
      <w:r>
        <w:rPr>
          <w:rFonts w:ascii="Times New Roman" w:hAnsi="Times New Roman" w:cs="Times New Roman"/>
          <w:i/>
          <w:sz w:val="16"/>
          <w:szCs w:val="16"/>
          <w:lang w:val="en-GB"/>
        </w:rPr>
        <w:t xml:space="preserve"> </w:t>
      </w:r>
      <w:hyperlink r:id="rId1" w:history="1">
        <w:r w:rsidRPr="00836605">
          <w:rPr>
            <w:rStyle w:val="Hyperlink"/>
            <w:rFonts w:ascii="Times New Roman" w:hAnsi="Times New Roman" w:cs="Times New Roman"/>
            <w:sz w:val="16"/>
            <w:szCs w:val="16"/>
            <w:lang w:val="en-GB"/>
          </w:rPr>
          <w:t>http://nursistudies.com/teblig.php?tno=542</w:t>
        </w:r>
      </w:hyperlink>
      <w:r w:rsidRPr="00836605">
        <w:rPr>
          <w:rFonts w:ascii="Times New Roman" w:hAnsi="Times New Roman" w:cs="Times New Roman"/>
          <w:sz w:val="16"/>
          <w:szCs w:val="16"/>
          <w:lang w:val="en-GB"/>
        </w:rPr>
        <w:t>.</w:t>
      </w:r>
      <w:proofErr w:type="gramEnd"/>
      <w:r w:rsidRPr="00836605">
        <w:rPr>
          <w:rFonts w:ascii="Times New Roman" w:hAnsi="Times New Roman" w:cs="Times New Roman"/>
          <w:sz w:val="16"/>
          <w:szCs w:val="16"/>
          <w:lang w:val="en-GB"/>
        </w:rPr>
        <w:t xml:space="preserve"> </w:t>
      </w:r>
    </w:p>
  </w:footnote>
  <w:footnote w:id="3">
    <w:p w:rsidR="009F3B8E" w:rsidRPr="00FE7C2A" w:rsidRDefault="009F3B8E" w:rsidP="009F3B8E">
      <w:pPr>
        <w:pStyle w:val="FootnoteText"/>
        <w:jc w:val="both"/>
        <w:rPr>
          <w:rFonts w:ascii="Times New Roman" w:hAnsi="Times New Roman" w:cs="Times New Roman"/>
          <w:sz w:val="16"/>
          <w:szCs w:val="16"/>
        </w:rPr>
      </w:pPr>
      <w:r w:rsidRPr="00FE7C2A">
        <w:rPr>
          <w:rStyle w:val="FootnoteReference"/>
          <w:rFonts w:ascii="Times New Roman" w:hAnsi="Times New Roman" w:cs="Times New Roman"/>
          <w:sz w:val="16"/>
          <w:szCs w:val="16"/>
        </w:rPr>
        <w:footnoteRef/>
      </w:r>
      <w:r>
        <w:rPr>
          <w:rFonts w:ascii="Times New Roman" w:hAnsi="Times New Roman" w:cs="Times New Roman"/>
          <w:sz w:val="16"/>
          <w:szCs w:val="16"/>
        </w:rPr>
        <w:t xml:space="preserve"> </w:t>
      </w:r>
      <w:r w:rsidRPr="00FE7C2A">
        <w:rPr>
          <w:rFonts w:ascii="Times New Roman" w:hAnsi="Times New Roman" w:cs="Times New Roman"/>
          <w:sz w:val="16"/>
          <w:szCs w:val="16"/>
        </w:rPr>
        <w:t>Robin Gill, Theology and Social Struct</w:t>
      </w:r>
      <w:r>
        <w:rPr>
          <w:rFonts w:ascii="Times New Roman" w:hAnsi="Times New Roman" w:cs="Times New Roman"/>
          <w:sz w:val="16"/>
          <w:szCs w:val="16"/>
        </w:rPr>
        <w:t>ure</w:t>
      </w:r>
      <w:r w:rsidRPr="00FE7C2A">
        <w:rPr>
          <w:rFonts w:ascii="Times New Roman" w:hAnsi="Times New Roman" w:cs="Times New Roman"/>
          <w:sz w:val="16"/>
          <w:szCs w:val="16"/>
        </w:rPr>
        <w:t xml:space="preserve"> </w:t>
      </w:r>
      <w:r>
        <w:rPr>
          <w:rFonts w:ascii="Times New Roman" w:hAnsi="Times New Roman" w:cs="Times New Roman"/>
          <w:sz w:val="16"/>
          <w:szCs w:val="16"/>
        </w:rPr>
        <w:t>(</w:t>
      </w:r>
      <w:proofErr w:type="spellStart"/>
      <w:r w:rsidRPr="00FE7C2A">
        <w:rPr>
          <w:rFonts w:ascii="Times New Roman" w:hAnsi="Times New Roman" w:cs="Times New Roman"/>
          <w:sz w:val="16"/>
          <w:szCs w:val="16"/>
        </w:rPr>
        <w:t>Mowbrays</w:t>
      </w:r>
      <w:proofErr w:type="spellEnd"/>
      <w:r w:rsidRPr="00FE7C2A">
        <w:rPr>
          <w:rFonts w:ascii="Times New Roman" w:hAnsi="Times New Roman" w:cs="Times New Roman"/>
          <w:sz w:val="16"/>
          <w:szCs w:val="16"/>
        </w:rPr>
        <w:t>, 1977</w:t>
      </w:r>
      <w:r>
        <w:rPr>
          <w:rFonts w:ascii="Times New Roman" w:hAnsi="Times New Roman" w:cs="Times New Roman"/>
          <w:sz w:val="16"/>
          <w:szCs w:val="16"/>
        </w:rPr>
        <w:t>)</w:t>
      </w:r>
      <w:r w:rsidRPr="00FE7C2A">
        <w:rPr>
          <w:rFonts w:ascii="Times New Roman" w:hAnsi="Times New Roman" w:cs="Times New Roman"/>
          <w:sz w:val="16"/>
          <w:szCs w:val="16"/>
        </w:rPr>
        <w:t xml:space="preserve">; Roderick Martin, “Sociology and Theology,” D. E. H. </w:t>
      </w:r>
      <w:proofErr w:type="spellStart"/>
      <w:r w:rsidRPr="00FE7C2A">
        <w:rPr>
          <w:rFonts w:ascii="Times New Roman" w:hAnsi="Times New Roman" w:cs="Times New Roman"/>
          <w:sz w:val="16"/>
          <w:szCs w:val="16"/>
        </w:rPr>
        <w:t>Whiteley</w:t>
      </w:r>
      <w:proofErr w:type="spellEnd"/>
      <w:r w:rsidRPr="00FE7C2A">
        <w:rPr>
          <w:rFonts w:ascii="Times New Roman" w:hAnsi="Times New Roman" w:cs="Times New Roman"/>
          <w:sz w:val="16"/>
          <w:szCs w:val="16"/>
        </w:rPr>
        <w:t xml:space="preserve"> and R. Martin, ed., S</w:t>
      </w:r>
      <w:r>
        <w:rPr>
          <w:rFonts w:ascii="Times New Roman" w:hAnsi="Times New Roman" w:cs="Times New Roman"/>
          <w:sz w:val="16"/>
          <w:szCs w:val="16"/>
        </w:rPr>
        <w:t>ociology, Theology, and Conflict</w:t>
      </w:r>
      <w:r w:rsidRPr="00FE7C2A">
        <w:rPr>
          <w:rFonts w:ascii="Times New Roman" w:hAnsi="Times New Roman" w:cs="Times New Roman"/>
          <w:sz w:val="16"/>
          <w:szCs w:val="16"/>
        </w:rPr>
        <w:t xml:space="preserve"> </w:t>
      </w:r>
      <w:r>
        <w:rPr>
          <w:rFonts w:ascii="Times New Roman" w:hAnsi="Times New Roman" w:cs="Times New Roman"/>
          <w:sz w:val="16"/>
          <w:szCs w:val="16"/>
        </w:rPr>
        <w:t>(</w:t>
      </w:r>
      <w:r w:rsidRPr="00FE7C2A">
        <w:rPr>
          <w:rFonts w:ascii="Times New Roman" w:hAnsi="Times New Roman" w:cs="Times New Roman"/>
          <w:sz w:val="16"/>
          <w:szCs w:val="16"/>
        </w:rPr>
        <w:t>Blackwell, 1969</w:t>
      </w:r>
      <w:r>
        <w:rPr>
          <w:rFonts w:ascii="Times New Roman" w:hAnsi="Times New Roman" w:cs="Times New Roman"/>
          <w:sz w:val="16"/>
          <w:szCs w:val="16"/>
        </w:rPr>
        <w:t>)</w:t>
      </w:r>
      <w:r w:rsidRPr="00FE7C2A">
        <w:rPr>
          <w:rFonts w:ascii="Times New Roman" w:hAnsi="Times New Roman" w:cs="Times New Roman"/>
          <w:sz w:val="16"/>
          <w:szCs w:val="16"/>
        </w:rPr>
        <w:t xml:space="preserve">. </w:t>
      </w:r>
    </w:p>
  </w:footnote>
  <w:footnote w:id="4">
    <w:p w:rsidR="009F3B8E" w:rsidRPr="00474976" w:rsidRDefault="009F3B8E" w:rsidP="009F3B8E">
      <w:pPr>
        <w:autoSpaceDE w:val="0"/>
        <w:autoSpaceDN w:val="0"/>
        <w:adjustRightInd w:val="0"/>
        <w:spacing w:after="0" w:line="240" w:lineRule="auto"/>
        <w:rPr>
          <w:rFonts w:ascii="Times New Roman" w:hAnsi="Times New Roman" w:cs="Times New Roman"/>
          <w:sz w:val="16"/>
          <w:szCs w:val="16"/>
        </w:rPr>
      </w:pPr>
      <w:r w:rsidRPr="00474976">
        <w:rPr>
          <w:rStyle w:val="FootnoteReference"/>
          <w:rFonts w:ascii="Times New Roman" w:hAnsi="Times New Roman" w:cs="Times New Roman"/>
          <w:sz w:val="16"/>
          <w:szCs w:val="16"/>
        </w:rPr>
        <w:footnoteRef/>
      </w:r>
      <w:r w:rsidRPr="00474976">
        <w:rPr>
          <w:rFonts w:ascii="Times New Roman" w:hAnsi="Times New Roman" w:cs="Times New Roman"/>
          <w:sz w:val="16"/>
          <w:szCs w:val="16"/>
        </w:rPr>
        <w:t xml:space="preserve"> </w:t>
      </w:r>
      <w:proofErr w:type="spellStart"/>
      <w:r w:rsidRPr="00474976">
        <w:rPr>
          <w:rFonts w:ascii="Times New Roman" w:hAnsi="Times New Roman" w:cs="Times New Roman"/>
          <w:sz w:val="16"/>
          <w:szCs w:val="16"/>
        </w:rPr>
        <w:t>Hasan</w:t>
      </w:r>
      <w:proofErr w:type="spellEnd"/>
      <w:r w:rsidRPr="00474976">
        <w:rPr>
          <w:rFonts w:ascii="Times New Roman" w:hAnsi="Times New Roman" w:cs="Times New Roman"/>
          <w:sz w:val="16"/>
          <w:szCs w:val="16"/>
        </w:rPr>
        <w:t xml:space="preserve"> </w:t>
      </w:r>
      <w:proofErr w:type="spellStart"/>
      <w:r w:rsidRPr="00474976">
        <w:rPr>
          <w:rFonts w:ascii="Times New Roman" w:hAnsi="Times New Roman" w:cs="Times New Roman"/>
          <w:sz w:val="16"/>
          <w:szCs w:val="16"/>
        </w:rPr>
        <w:t>Hörküç</w:t>
      </w:r>
      <w:proofErr w:type="spellEnd"/>
      <w:r w:rsidRPr="00474976">
        <w:rPr>
          <w:rFonts w:ascii="Times New Roman" w:hAnsi="Times New Roman" w:cs="Times New Roman"/>
          <w:sz w:val="16"/>
          <w:szCs w:val="16"/>
        </w:rPr>
        <w:t xml:space="preserve">, “Said </w:t>
      </w:r>
      <w:proofErr w:type="spellStart"/>
      <w:r w:rsidRPr="00474976">
        <w:rPr>
          <w:rFonts w:ascii="Times New Roman" w:hAnsi="Times New Roman" w:cs="Times New Roman"/>
          <w:sz w:val="16"/>
          <w:szCs w:val="16"/>
        </w:rPr>
        <w:t>Nursi's</w:t>
      </w:r>
      <w:proofErr w:type="spellEnd"/>
      <w:r w:rsidRPr="00474976">
        <w:rPr>
          <w:rFonts w:ascii="Times New Roman" w:hAnsi="Times New Roman" w:cs="Times New Roman"/>
          <w:sz w:val="16"/>
          <w:szCs w:val="16"/>
        </w:rPr>
        <w:t xml:space="preserve"> Ideal for Human Society: Moral and Social Reform in the </w:t>
      </w:r>
      <w:proofErr w:type="spellStart"/>
      <w:r w:rsidRPr="00474976">
        <w:rPr>
          <w:rFonts w:ascii="Times New Roman" w:hAnsi="Times New Roman" w:cs="Times New Roman"/>
          <w:sz w:val="16"/>
          <w:szCs w:val="16"/>
        </w:rPr>
        <w:t>Risale-i</w:t>
      </w:r>
      <w:proofErr w:type="spellEnd"/>
      <w:r w:rsidRPr="00474976">
        <w:rPr>
          <w:rFonts w:ascii="Times New Roman" w:hAnsi="Times New Roman" w:cs="Times New Roman"/>
          <w:sz w:val="16"/>
          <w:szCs w:val="16"/>
        </w:rPr>
        <w:t xml:space="preserve"> </w:t>
      </w:r>
      <w:proofErr w:type="spellStart"/>
      <w:r w:rsidRPr="00474976">
        <w:rPr>
          <w:rFonts w:ascii="Times New Roman" w:hAnsi="Times New Roman" w:cs="Times New Roman"/>
          <w:sz w:val="16"/>
          <w:szCs w:val="16"/>
        </w:rPr>
        <w:t>Nur</w:t>
      </w:r>
      <w:proofErr w:type="spellEnd"/>
      <w:r w:rsidRPr="00474976">
        <w:rPr>
          <w:rFonts w:ascii="Times New Roman" w:hAnsi="Times New Roman" w:cs="Times New Roman"/>
          <w:sz w:val="16"/>
          <w:szCs w:val="16"/>
        </w:rPr>
        <w:t>,” Durham thes</w:t>
      </w:r>
      <w:r>
        <w:rPr>
          <w:rFonts w:ascii="Times New Roman" w:hAnsi="Times New Roman" w:cs="Times New Roman"/>
          <w:sz w:val="16"/>
          <w:szCs w:val="16"/>
        </w:rPr>
        <w:t xml:space="preserve">es. </w:t>
      </w:r>
      <w:proofErr w:type="gramStart"/>
      <w:r>
        <w:rPr>
          <w:rFonts w:ascii="Times New Roman" w:hAnsi="Times New Roman" w:cs="Times New Roman"/>
          <w:sz w:val="16"/>
          <w:szCs w:val="16"/>
        </w:rPr>
        <w:t>(Durham University, 2004), 302.</w:t>
      </w:r>
      <w:proofErr w:type="gramEnd"/>
    </w:p>
  </w:footnote>
  <w:footnote w:id="5">
    <w:p w:rsidR="009F3B8E" w:rsidRPr="00474976" w:rsidRDefault="009F3B8E" w:rsidP="009F3B8E">
      <w:pPr>
        <w:pStyle w:val="FootnoteText"/>
        <w:rPr>
          <w:rFonts w:ascii="Times New Roman" w:hAnsi="Times New Roman" w:cs="Times New Roman"/>
          <w:sz w:val="16"/>
          <w:szCs w:val="16"/>
          <w:lang w:val="en-US"/>
        </w:rPr>
      </w:pPr>
      <w:r w:rsidRPr="00474976">
        <w:rPr>
          <w:rStyle w:val="FootnoteReference"/>
          <w:rFonts w:ascii="Times New Roman" w:hAnsi="Times New Roman" w:cs="Times New Roman"/>
          <w:sz w:val="16"/>
          <w:szCs w:val="16"/>
        </w:rPr>
        <w:footnoteRef/>
      </w:r>
      <w:r w:rsidRPr="00474976">
        <w:rPr>
          <w:rFonts w:ascii="Times New Roman" w:hAnsi="Times New Roman" w:cs="Times New Roman"/>
          <w:sz w:val="16"/>
          <w:szCs w:val="16"/>
        </w:rPr>
        <w:t xml:space="preserve"> Syed Farid Alatas</w:t>
      </w:r>
      <w:r w:rsidRPr="00474976">
        <w:rPr>
          <w:rFonts w:ascii="Times New Roman" w:hAnsi="Times New Roman" w:cs="Times New Roman"/>
          <w:sz w:val="16"/>
          <w:szCs w:val="16"/>
          <w:lang w:val="en-GB"/>
        </w:rPr>
        <w:t>, “</w:t>
      </w:r>
      <w:r w:rsidRPr="00474976">
        <w:rPr>
          <w:rFonts w:ascii="Times New Roman" w:hAnsi="Times New Roman" w:cs="Times New Roman"/>
          <w:sz w:val="16"/>
          <w:szCs w:val="16"/>
        </w:rPr>
        <w:t xml:space="preserve">An Agenda for </w:t>
      </w:r>
      <w:proofErr w:type="spellStart"/>
      <w:r w:rsidRPr="00474976">
        <w:rPr>
          <w:rFonts w:ascii="Times New Roman" w:hAnsi="Times New Roman" w:cs="Times New Roman"/>
          <w:sz w:val="16"/>
          <w:szCs w:val="16"/>
        </w:rPr>
        <w:t>Nursi</w:t>
      </w:r>
      <w:proofErr w:type="spellEnd"/>
      <w:r w:rsidRPr="00474976">
        <w:rPr>
          <w:rFonts w:ascii="Times New Roman" w:hAnsi="Times New Roman" w:cs="Times New Roman"/>
          <w:sz w:val="16"/>
          <w:szCs w:val="16"/>
        </w:rPr>
        <w:t xml:space="preserve"> Studies: Towards the Construction of a Social Theology</w:t>
      </w:r>
      <w:r w:rsidRPr="00474976">
        <w:rPr>
          <w:rFonts w:ascii="Times New Roman" w:hAnsi="Times New Roman" w:cs="Times New Roman"/>
          <w:sz w:val="16"/>
          <w:szCs w:val="16"/>
          <w:lang w:val="en-GB"/>
        </w:rPr>
        <w:t xml:space="preserve">,” </w:t>
      </w:r>
      <w:r>
        <w:rPr>
          <w:rFonts w:ascii="Times New Roman" w:hAnsi="Times New Roman" w:cs="Times New Roman"/>
          <w:i/>
          <w:sz w:val="16"/>
          <w:szCs w:val="16"/>
          <w:lang w:val="en-GB"/>
        </w:rPr>
        <w:t>Asian Journal of Social Science</w:t>
      </w:r>
      <w:r>
        <w:rPr>
          <w:rFonts w:ascii="Times New Roman" w:hAnsi="Times New Roman" w:cs="Times New Roman"/>
          <w:sz w:val="16"/>
          <w:szCs w:val="16"/>
          <w:lang w:val="en-GB"/>
        </w:rPr>
        <w:t>,</w:t>
      </w:r>
      <w:r w:rsidRPr="00474976">
        <w:rPr>
          <w:rFonts w:ascii="Times New Roman" w:hAnsi="Times New Roman" w:cs="Times New Roman"/>
          <w:sz w:val="16"/>
          <w:szCs w:val="16"/>
          <w:lang w:val="en-GB"/>
        </w:rPr>
        <w:t xml:space="preserve"> 38, 2010, </w:t>
      </w:r>
      <w:r>
        <w:rPr>
          <w:rFonts w:ascii="Times New Roman" w:hAnsi="Times New Roman" w:cs="Times New Roman"/>
          <w:sz w:val="16"/>
          <w:szCs w:val="16"/>
          <w:lang w:val="en-GB"/>
        </w:rPr>
        <w:t>529</w:t>
      </w:r>
      <w:r w:rsidRPr="00474976">
        <w:rPr>
          <w:rFonts w:ascii="Times New Roman" w:hAnsi="Times New Roman" w:cs="Times New Roman"/>
          <w:sz w:val="16"/>
          <w:szCs w:val="16"/>
          <w:lang w:val="en-GB"/>
        </w:rPr>
        <w:t>.</w:t>
      </w:r>
    </w:p>
  </w:footnote>
  <w:footnote w:id="6">
    <w:p w:rsidR="009F3B8E" w:rsidRPr="00474976" w:rsidRDefault="009F3B8E" w:rsidP="009F3B8E">
      <w:pPr>
        <w:spacing w:after="0"/>
        <w:rPr>
          <w:sz w:val="16"/>
          <w:szCs w:val="16"/>
        </w:rPr>
      </w:pPr>
      <w:r w:rsidRPr="00474976">
        <w:rPr>
          <w:rStyle w:val="FootnoteReference"/>
          <w:rFonts w:ascii="Times New Roman" w:hAnsi="Times New Roman" w:cs="Times New Roman"/>
          <w:sz w:val="16"/>
          <w:szCs w:val="16"/>
        </w:rPr>
        <w:footnoteRef/>
      </w:r>
      <w:r w:rsidRPr="00474976">
        <w:rPr>
          <w:rFonts w:ascii="Times New Roman" w:hAnsi="Times New Roman" w:cs="Times New Roman"/>
          <w:sz w:val="16"/>
          <w:szCs w:val="16"/>
        </w:rPr>
        <w:t xml:space="preserve"> Ali Allawi, </w:t>
      </w:r>
      <w:proofErr w:type="gramStart"/>
      <w:r w:rsidRPr="00474976">
        <w:rPr>
          <w:rFonts w:ascii="Times New Roman" w:hAnsi="Times New Roman" w:cs="Times New Roman"/>
          <w:sz w:val="16"/>
          <w:szCs w:val="16"/>
        </w:rPr>
        <w:t>The</w:t>
      </w:r>
      <w:proofErr w:type="gramEnd"/>
      <w:r w:rsidRPr="00474976">
        <w:rPr>
          <w:rFonts w:ascii="Times New Roman" w:hAnsi="Times New Roman" w:cs="Times New Roman"/>
          <w:sz w:val="16"/>
          <w:szCs w:val="16"/>
        </w:rPr>
        <w:t xml:space="preserve"> Crisis of Islamic Civilization (New Haven, Conn.: Yale University Press, 1977), 56.</w:t>
      </w:r>
    </w:p>
  </w:footnote>
  <w:footnote w:id="7">
    <w:p w:rsidR="009F3B8E" w:rsidRPr="00474976" w:rsidRDefault="009F3B8E" w:rsidP="009F3B8E">
      <w:pPr>
        <w:spacing w:after="0"/>
        <w:rPr>
          <w:rFonts w:ascii="Times New Roman" w:hAnsi="Times New Roman" w:cs="Times New Roman"/>
          <w:sz w:val="16"/>
          <w:szCs w:val="16"/>
          <w:lang w:val="en-GB"/>
        </w:rPr>
      </w:pPr>
      <w:r w:rsidRPr="00474976">
        <w:rPr>
          <w:rStyle w:val="FootnoteReference"/>
          <w:rFonts w:ascii="Times New Roman" w:hAnsi="Times New Roman" w:cs="Times New Roman"/>
          <w:sz w:val="16"/>
          <w:szCs w:val="16"/>
        </w:rPr>
        <w:footnoteRef/>
      </w:r>
      <w:r w:rsidRPr="00474976">
        <w:rPr>
          <w:rFonts w:ascii="Times New Roman" w:hAnsi="Times New Roman" w:cs="Times New Roman"/>
          <w:sz w:val="16"/>
          <w:szCs w:val="16"/>
        </w:rPr>
        <w:t xml:space="preserve"> Syed Farid Alatas</w:t>
      </w:r>
      <w:r w:rsidRPr="00474976">
        <w:rPr>
          <w:rFonts w:ascii="Times New Roman" w:hAnsi="Times New Roman" w:cs="Times New Roman"/>
          <w:sz w:val="16"/>
          <w:szCs w:val="16"/>
          <w:lang w:val="en-GB"/>
        </w:rPr>
        <w:t>, “</w:t>
      </w:r>
      <w:r w:rsidRPr="00474976">
        <w:rPr>
          <w:rFonts w:ascii="Times New Roman" w:hAnsi="Times New Roman" w:cs="Times New Roman"/>
          <w:sz w:val="16"/>
          <w:szCs w:val="16"/>
        </w:rPr>
        <w:t xml:space="preserve">Justice, Balance and the Social Order in the Thought of </w:t>
      </w:r>
      <w:proofErr w:type="spellStart"/>
      <w:r w:rsidRPr="00474976">
        <w:rPr>
          <w:rFonts w:ascii="Times New Roman" w:hAnsi="Times New Roman" w:cs="Times New Roman"/>
          <w:sz w:val="16"/>
          <w:szCs w:val="16"/>
        </w:rPr>
        <w:t>Bediuzzaman</w:t>
      </w:r>
      <w:proofErr w:type="spellEnd"/>
      <w:r w:rsidRPr="00474976">
        <w:rPr>
          <w:rFonts w:ascii="Times New Roman" w:hAnsi="Times New Roman" w:cs="Times New Roman"/>
          <w:sz w:val="16"/>
          <w:szCs w:val="16"/>
        </w:rPr>
        <w:t xml:space="preserve"> Said </w:t>
      </w:r>
      <w:proofErr w:type="spellStart"/>
      <w:r w:rsidRPr="00474976">
        <w:rPr>
          <w:rFonts w:ascii="Times New Roman" w:hAnsi="Times New Roman" w:cs="Times New Roman"/>
          <w:sz w:val="16"/>
          <w:szCs w:val="16"/>
        </w:rPr>
        <w:t>Nursi</w:t>
      </w:r>
      <w:proofErr w:type="spellEnd"/>
      <w:r w:rsidRPr="00474976">
        <w:rPr>
          <w:rFonts w:ascii="Times New Roman" w:hAnsi="Times New Roman" w:cs="Times New Roman"/>
          <w:sz w:val="16"/>
          <w:szCs w:val="16"/>
          <w:lang w:val="en-GB"/>
        </w:rPr>
        <w:t xml:space="preserve">,” </w:t>
      </w:r>
      <w:proofErr w:type="spellStart"/>
      <w:r w:rsidRPr="00836605">
        <w:rPr>
          <w:rFonts w:ascii="Times New Roman" w:hAnsi="Times New Roman" w:cs="Times New Roman"/>
          <w:i/>
          <w:sz w:val="16"/>
          <w:szCs w:val="16"/>
          <w:lang w:val="en-GB"/>
        </w:rPr>
        <w:t>Nursi</w:t>
      </w:r>
      <w:proofErr w:type="spellEnd"/>
      <w:r w:rsidRPr="00836605">
        <w:rPr>
          <w:rFonts w:ascii="Times New Roman" w:hAnsi="Times New Roman" w:cs="Times New Roman"/>
          <w:i/>
          <w:sz w:val="16"/>
          <w:szCs w:val="16"/>
          <w:lang w:val="en-GB"/>
        </w:rPr>
        <w:t xml:space="preserve"> Studies</w:t>
      </w:r>
      <w:r w:rsidRPr="00474976">
        <w:rPr>
          <w:rFonts w:ascii="Times New Roman" w:hAnsi="Times New Roman" w:cs="Times New Roman"/>
          <w:sz w:val="16"/>
          <w:szCs w:val="16"/>
          <w:lang w:val="en-GB"/>
        </w:rPr>
        <w:t xml:space="preserve">, </w:t>
      </w:r>
    </w:p>
    <w:p w:rsidR="009F3B8E" w:rsidRPr="00474976" w:rsidRDefault="009F3B8E" w:rsidP="009F3B8E">
      <w:pPr>
        <w:spacing w:after="0"/>
        <w:rPr>
          <w:rFonts w:asciiTheme="majorBidi" w:eastAsia="TimesNewRoman" w:hAnsiTheme="majorBidi" w:cstheme="majorBidi"/>
          <w:sz w:val="16"/>
          <w:szCs w:val="16"/>
          <w:u w:val="single"/>
          <w:lang w:eastAsia="tr-TR"/>
        </w:rPr>
      </w:pPr>
      <w:hyperlink r:id="rId2" w:history="1">
        <w:r w:rsidRPr="00474976">
          <w:rPr>
            <w:rStyle w:val="Hyperlink"/>
            <w:rFonts w:asciiTheme="majorBidi" w:eastAsia="TimesNewRoman" w:hAnsiTheme="majorBidi" w:cstheme="majorBidi"/>
            <w:color w:val="auto"/>
            <w:sz w:val="16"/>
            <w:szCs w:val="16"/>
            <w:lang w:eastAsia="tr-TR"/>
          </w:rPr>
          <w:t>http://nursistudies.com/teblig.php?tno=476</w:t>
        </w:r>
      </w:hyperlink>
      <w:r w:rsidRPr="00836605">
        <w:rPr>
          <w:rFonts w:asciiTheme="majorBidi" w:eastAsia="TimesNewRoman" w:hAnsiTheme="majorBidi" w:cstheme="majorBidi"/>
          <w:sz w:val="16"/>
          <w:szCs w:val="16"/>
          <w:lang w:eastAsia="tr-TR"/>
        </w:rPr>
        <w:t>.</w:t>
      </w:r>
      <w:r w:rsidRPr="00474976">
        <w:rPr>
          <w:rFonts w:asciiTheme="majorBidi" w:eastAsia="TimesNewRoman" w:hAnsiTheme="majorBidi" w:cstheme="majorBidi"/>
          <w:sz w:val="16"/>
          <w:szCs w:val="16"/>
          <w:u w:val="single"/>
          <w:lang w:eastAsia="tr-TR"/>
        </w:rPr>
        <w:t xml:space="preserve"> </w:t>
      </w:r>
    </w:p>
    <w:p w:rsidR="009F3B8E" w:rsidRPr="00853026" w:rsidRDefault="009F3B8E" w:rsidP="009F3B8E">
      <w:pPr>
        <w:pStyle w:val="FootnoteText"/>
        <w:jc w:val="both"/>
        <w:rPr>
          <w:rFonts w:ascii="Times New Roman" w:hAnsi="Times New Roman" w:cs="Times New Roman"/>
          <w:sz w:val="18"/>
          <w:szCs w:val="18"/>
        </w:rPr>
      </w:pPr>
    </w:p>
  </w:footnote>
  <w:footnote w:id="8">
    <w:p w:rsidR="009F3B8E" w:rsidRPr="00836605" w:rsidRDefault="009F3B8E" w:rsidP="009F3B8E">
      <w:pPr>
        <w:pStyle w:val="FootnoteText"/>
        <w:rPr>
          <w:rFonts w:ascii="Times New Roman" w:hAnsi="Times New Roman" w:cs="Times New Roman"/>
          <w:sz w:val="16"/>
          <w:szCs w:val="16"/>
        </w:rPr>
      </w:pPr>
      <w:r w:rsidRPr="00836605">
        <w:rPr>
          <w:rStyle w:val="FootnoteReference"/>
          <w:rFonts w:ascii="Times New Roman" w:hAnsi="Times New Roman" w:cs="Times New Roman"/>
          <w:sz w:val="16"/>
          <w:szCs w:val="16"/>
        </w:rPr>
        <w:footnoteRef/>
      </w:r>
      <w:r w:rsidRPr="00836605">
        <w:rPr>
          <w:rFonts w:ascii="Times New Roman" w:hAnsi="Times New Roman" w:cs="Times New Roman"/>
          <w:sz w:val="16"/>
          <w:szCs w:val="16"/>
        </w:rPr>
        <w:t xml:space="preserve"> </w:t>
      </w:r>
      <w:r w:rsidRPr="00836605">
        <w:rPr>
          <w:rFonts w:asciiTheme="majorBidi" w:eastAsia="TimesNewRoman" w:hAnsiTheme="majorBidi" w:cstheme="majorBidi"/>
          <w:sz w:val="16"/>
          <w:szCs w:val="16"/>
          <w:lang w:val="tr-TR"/>
        </w:rPr>
        <w:t>Robin Gill, “Sociology Assessing Theology,” Robin Gill</w:t>
      </w:r>
      <w:r w:rsidRPr="00836605">
        <w:rPr>
          <w:rFonts w:asciiTheme="majorBidi" w:eastAsia="TimesNewRoman" w:hAnsiTheme="majorBidi" w:cstheme="majorBidi"/>
          <w:sz w:val="16"/>
          <w:szCs w:val="16"/>
          <w:lang w:eastAsia="tr-TR"/>
        </w:rPr>
        <w:t xml:space="preserve">, ed., Theology and Sociology: A Reader. </w:t>
      </w:r>
      <w:proofErr w:type="gramStart"/>
      <w:r w:rsidRPr="00836605">
        <w:rPr>
          <w:rFonts w:asciiTheme="majorBidi" w:eastAsia="TimesNewRoman" w:hAnsiTheme="majorBidi" w:cstheme="majorBidi"/>
          <w:sz w:val="16"/>
          <w:szCs w:val="16"/>
          <w:lang w:eastAsia="tr-TR"/>
        </w:rPr>
        <w:t xml:space="preserve">(London: </w:t>
      </w:r>
      <w:proofErr w:type="spellStart"/>
      <w:r w:rsidRPr="00836605">
        <w:rPr>
          <w:rFonts w:asciiTheme="majorBidi" w:eastAsia="TimesNewRoman" w:hAnsiTheme="majorBidi" w:cstheme="majorBidi"/>
          <w:sz w:val="16"/>
          <w:szCs w:val="16"/>
          <w:lang w:eastAsia="tr-TR"/>
        </w:rPr>
        <w:t>Cassell</w:t>
      </w:r>
      <w:proofErr w:type="spellEnd"/>
      <w:r w:rsidRPr="00836605">
        <w:rPr>
          <w:rFonts w:asciiTheme="majorBidi" w:eastAsia="TimesNewRoman" w:hAnsiTheme="majorBidi" w:cstheme="majorBidi"/>
          <w:sz w:val="16"/>
          <w:szCs w:val="16"/>
          <w:lang w:eastAsia="tr-TR"/>
        </w:rPr>
        <w:t>, 1996), 145.</w:t>
      </w:r>
      <w:proofErr w:type="gramEnd"/>
    </w:p>
  </w:footnote>
  <w:footnote w:id="9">
    <w:p w:rsidR="009F3B8E" w:rsidRPr="00836605" w:rsidRDefault="009F3B8E" w:rsidP="009F3B8E">
      <w:pPr>
        <w:spacing w:after="0" w:line="240" w:lineRule="auto"/>
        <w:rPr>
          <w:rFonts w:ascii="Times New Roman" w:hAnsi="Times New Roman" w:cs="Times New Roman"/>
          <w:sz w:val="16"/>
          <w:szCs w:val="16"/>
        </w:rPr>
      </w:pPr>
      <w:r w:rsidRPr="00836605">
        <w:rPr>
          <w:rStyle w:val="FootnoteReference"/>
          <w:rFonts w:ascii="Times New Roman" w:hAnsi="Times New Roman" w:cs="Times New Roman"/>
          <w:sz w:val="16"/>
          <w:szCs w:val="16"/>
        </w:rPr>
        <w:footnoteRef/>
      </w:r>
      <w:r w:rsidRPr="00836605">
        <w:rPr>
          <w:rFonts w:ascii="Times New Roman" w:hAnsi="Times New Roman" w:cs="Times New Roman"/>
          <w:sz w:val="16"/>
          <w:szCs w:val="16"/>
        </w:rPr>
        <w:t xml:space="preserve"> M. </w:t>
      </w:r>
      <w:proofErr w:type="spellStart"/>
      <w:r w:rsidRPr="00836605">
        <w:rPr>
          <w:rFonts w:ascii="Times New Roman" w:hAnsi="Times New Roman" w:cs="Times New Roman"/>
          <w:sz w:val="16"/>
          <w:szCs w:val="16"/>
        </w:rPr>
        <w:t>Sait</w:t>
      </w:r>
      <w:proofErr w:type="spellEnd"/>
      <w:r w:rsidRPr="00836605">
        <w:rPr>
          <w:rFonts w:ascii="Times New Roman" w:hAnsi="Times New Roman" w:cs="Times New Roman"/>
          <w:sz w:val="16"/>
          <w:szCs w:val="16"/>
        </w:rPr>
        <w:t xml:space="preserve"> </w:t>
      </w:r>
      <w:proofErr w:type="spellStart"/>
      <w:r>
        <w:rPr>
          <w:rFonts w:ascii="Times New Roman" w:hAnsi="Times New Roman" w:cs="Times New Roman"/>
          <w:sz w:val="16"/>
          <w:szCs w:val="16"/>
        </w:rPr>
        <w:t>Özervarli</w:t>
      </w:r>
      <w:proofErr w:type="spellEnd"/>
      <w:r w:rsidRPr="00836605">
        <w:rPr>
          <w:rFonts w:ascii="Times New Roman" w:hAnsi="Times New Roman" w:cs="Times New Roman"/>
          <w:sz w:val="16"/>
          <w:szCs w:val="16"/>
        </w:rPr>
        <w:t xml:space="preserve">, “The Reconstruction of Islamic Social Thought in the Modern Period: </w:t>
      </w:r>
      <w:proofErr w:type="spellStart"/>
      <w:r w:rsidRPr="00836605">
        <w:rPr>
          <w:rFonts w:ascii="Times New Roman" w:hAnsi="Times New Roman" w:cs="Times New Roman"/>
          <w:sz w:val="16"/>
          <w:szCs w:val="16"/>
        </w:rPr>
        <w:t>Nursi’s</w:t>
      </w:r>
      <w:proofErr w:type="spellEnd"/>
      <w:r w:rsidRPr="00836605">
        <w:rPr>
          <w:rFonts w:ascii="Times New Roman" w:hAnsi="Times New Roman" w:cs="Times New Roman"/>
          <w:sz w:val="16"/>
          <w:szCs w:val="16"/>
        </w:rPr>
        <w:t xml:space="preserve"> Approach to Religious Discourse in a Changing Society,” </w:t>
      </w:r>
      <w:r w:rsidRPr="00836605">
        <w:rPr>
          <w:rFonts w:ascii="Times New Roman" w:hAnsi="Times New Roman" w:cs="Times New Roman"/>
          <w:i/>
          <w:sz w:val="16"/>
          <w:szCs w:val="16"/>
        </w:rPr>
        <w:t>Asian Journal of Social Science</w:t>
      </w:r>
      <w:r w:rsidRPr="00836605">
        <w:rPr>
          <w:rFonts w:ascii="Times New Roman" w:hAnsi="Times New Roman" w:cs="Times New Roman"/>
          <w:sz w:val="16"/>
          <w:szCs w:val="16"/>
        </w:rPr>
        <w:t>, 38, 2010, 536.</w:t>
      </w:r>
    </w:p>
  </w:footnote>
  <w:footnote w:id="10">
    <w:p w:rsidR="009F3B8E" w:rsidRPr="00CE3A41" w:rsidRDefault="009F3B8E" w:rsidP="009F3B8E">
      <w:pPr>
        <w:pStyle w:val="FootnoteText"/>
        <w:rPr>
          <w:rFonts w:ascii="Times New Roman" w:hAnsi="Times New Roman" w:cs="Times New Roman"/>
          <w:sz w:val="16"/>
          <w:szCs w:val="16"/>
        </w:rPr>
      </w:pPr>
      <w:r w:rsidRPr="00836605">
        <w:rPr>
          <w:rStyle w:val="FootnoteReference"/>
          <w:rFonts w:ascii="Times New Roman" w:hAnsi="Times New Roman" w:cs="Times New Roman"/>
          <w:sz w:val="16"/>
          <w:szCs w:val="16"/>
        </w:rPr>
        <w:footnoteRef/>
      </w:r>
      <w:r w:rsidRPr="00836605">
        <w:rPr>
          <w:rFonts w:ascii="Times New Roman" w:hAnsi="Times New Roman" w:cs="Times New Roman"/>
          <w:sz w:val="16"/>
          <w:szCs w:val="16"/>
        </w:rPr>
        <w:t xml:space="preserve"> </w:t>
      </w:r>
      <w:proofErr w:type="spellStart"/>
      <w:r w:rsidRPr="00836605">
        <w:rPr>
          <w:rFonts w:ascii="Times New Roman" w:hAnsi="Times New Roman" w:cs="Times New Roman"/>
          <w:sz w:val="16"/>
          <w:szCs w:val="16"/>
        </w:rPr>
        <w:t>Bediuzzaman</w:t>
      </w:r>
      <w:proofErr w:type="spellEnd"/>
      <w:r w:rsidRPr="00836605">
        <w:rPr>
          <w:rFonts w:ascii="Times New Roman" w:hAnsi="Times New Roman" w:cs="Times New Roman"/>
          <w:sz w:val="16"/>
          <w:szCs w:val="16"/>
        </w:rPr>
        <w:t xml:space="preserve"> Said </w:t>
      </w:r>
      <w:proofErr w:type="spellStart"/>
      <w:r w:rsidRPr="00836605">
        <w:rPr>
          <w:rFonts w:ascii="Times New Roman" w:hAnsi="Times New Roman" w:cs="Times New Roman"/>
          <w:sz w:val="16"/>
          <w:szCs w:val="16"/>
        </w:rPr>
        <w:t>Nursi</w:t>
      </w:r>
      <w:proofErr w:type="spellEnd"/>
      <w:r w:rsidRPr="00836605">
        <w:rPr>
          <w:rFonts w:ascii="Times New Roman" w:hAnsi="Times New Roman" w:cs="Times New Roman"/>
          <w:sz w:val="16"/>
          <w:szCs w:val="16"/>
        </w:rPr>
        <w:t xml:space="preserve">, </w:t>
      </w:r>
      <w:proofErr w:type="gramStart"/>
      <w:r>
        <w:rPr>
          <w:rFonts w:ascii="Times New Roman" w:hAnsi="Times New Roman" w:cs="Times New Roman"/>
          <w:sz w:val="16"/>
          <w:szCs w:val="16"/>
        </w:rPr>
        <w:t>The</w:t>
      </w:r>
      <w:proofErr w:type="gramEnd"/>
      <w:r>
        <w:rPr>
          <w:rFonts w:ascii="Times New Roman" w:hAnsi="Times New Roman" w:cs="Times New Roman"/>
          <w:sz w:val="16"/>
          <w:szCs w:val="16"/>
        </w:rPr>
        <w:t xml:space="preserve"> Words, trans. </w:t>
      </w:r>
      <w:proofErr w:type="spellStart"/>
      <w:r>
        <w:rPr>
          <w:rFonts w:ascii="Times New Roman" w:hAnsi="Times New Roman" w:cs="Times New Roman"/>
          <w:sz w:val="16"/>
          <w:szCs w:val="16"/>
        </w:rPr>
        <w:t>Sukran</w:t>
      </w:r>
      <w:proofErr w:type="spellEnd"/>
      <w:r>
        <w:rPr>
          <w:rFonts w:ascii="Times New Roman" w:hAnsi="Times New Roman" w:cs="Times New Roman"/>
          <w:sz w:val="16"/>
          <w:szCs w:val="16"/>
        </w:rPr>
        <w:t xml:space="preserve"> </w:t>
      </w:r>
      <w:proofErr w:type="spellStart"/>
      <w:r>
        <w:rPr>
          <w:rFonts w:ascii="Times New Roman" w:hAnsi="Times New Roman" w:cs="Times New Roman"/>
          <w:sz w:val="16"/>
          <w:szCs w:val="16"/>
        </w:rPr>
        <w:t>Vahide</w:t>
      </w:r>
      <w:proofErr w:type="spellEnd"/>
      <w:r w:rsidRPr="00836605">
        <w:rPr>
          <w:rFonts w:ascii="Times New Roman" w:hAnsi="Times New Roman" w:cs="Times New Roman"/>
          <w:sz w:val="16"/>
          <w:szCs w:val="16"/>
        </w:rPr>
        <w:t xml:space="preserve"> </w:t>
      </w:r>
      <w:r>
        <w:rPr>
          <w:rFonts w:ascii="Times New Roman" w:hAnsi="Times New Roman" w:cs="Times New Roman"/>
          <w:sz w:val="16"/>
          <w:szCs w:val="16"/>
        </w:rPr>
        <w:t>(Istanbul</w:t>
      </w:r>
      <w:r w:rsidRPr="00836605">
        <w:rPr>
          <w:rFonts w:ascii="Times New Roman" w:hAnsi="Times New Roman" w:cs="Times New Roman"/>
          <w:sz w:val="16"/>
          <w:szCs w:val="16"/>
        </w:rPr>
        <w:t>, 1995</w:t>
      </w:r>
      <w:r>
        <w:rPr>
          <w:rFonts w:ascii="Times New Roman" w:hAnsi="Times New Roman" w:cs="Times New Roman"/>
          <w:sz w:val="16"/>
          <w:szCs w:val="16"/>
        </w:rPr>
        <w:t xml:space="preserve">), </w:t>
      </w:r>
      <w:r w:rsidRPr="00836605">
        <w:rPr>
          <w:rFonts w:ascii="Times New Roman" w:hAnsi="Times New Roman" w:cs="Times New Roman"/>
          <w:sz w:val="16"/>
          <w:szCs w:val="16"/>
        </w:rPr>
        <w:t>501.</w:t>
      </w:r>
    </w:p>
  </w:footnote>
  <w:footnote w:id="11">
    <w:p w:rsidR="009F3B8E" w:rsidRPr="009F7864" w:rsidRDefault="009F3B8E" w:rsidP="009F3B8E">
      <w:pPr>
        <w:pStyle w:val="FootnoteText"/>
        <w:rPr>
          <w:rFonts w:ascii="Times New Roman" w:hAnsi="Times New Roman" w:cs="Times New Roman"/>
          <w:sz w:val="16"/>
          <w:szCs w:val="16"/>
          <w:lang w:val="en-US"/>
        </w:rPr>
      </w:pPr>
      <w:r w:rsidRPr="009F7864">
        <w:rPr>
          <w:rStyle w:val="FootnoteReference"/>
          <w:rFonts w:ascii="Times New Roman" w:hAnsi="Times New Roman" w:cs="Times New Roman"/>
          <w:sz w:val="16"/>
          <w:szCs w:val="16"/>
        </w:rPr>
        <w:footnoteRef/>
      </w:r>
      <w:r w:rsidRPr="009F7864">
        <w:rPr>
          <w:rFonts w:ascii="Times New Roman" w:hAnsi="Times New Roman" w:cs="Times New Roman"/>
          <w:sz w:val="16"/>
          <w:szCs w:val="16"/>
        </w:rPr>
        <w:t xml:space="preserve"> </w:t>
      </w:r>
      <w:proofErr w:type="spellStart"/>
      <w:r w:rsidRPr="009F7864">
        <w:rPr>
          <w:rFonts w:ascii="Times New Roman" w:hAnsi="Times New Roman" w:cs="Times New Roman"/>
          <w:sz w:val="16"/>
          <w:szCs w:val="16"/>
        </w:rPr>
        <w:t>Bediuzzaman</w:t>
      </w:r>
      <w:proofErr w:type="spellEnd"/>
      <w:r w:rsidRPr="009F7864">
        <w:rPr>
          <w:rFonts w:ascii="Times New Roman" w:hAnsi="Times New Roman" w:cs="Times New Roman"/>
          <w:sz w:val="16"/>
          <w:szCs w:val="16"/>
        </w:rPr>
        <w:t xml:space="preserve"> Said </w:t>
      </w:r>
      <w:proofErr w:type="spellStart"/>
      <w:r w:rsidRPr="009F7864">
        <w:rPr>
          <w:rFonts w:ascii="Times New Roman" w:hAnsi="Times New Roman" w:cs="Times New Roman"/>
          <w:sz w:val="16"/>
          <w:szCs w:val="16"/>
        </w:rPr>
        <w:t>Nursi</w:t>
      </w:r>
      <w:proofErr w:type="spellEnd"/>
      <w:r w:rsidRPr="009F7864">
        <w:rPr>
          <w:rFonts w:ascii="Times New Roman" w:hAnsi="Times New Roman" w:cs="Times New Roman"/>
          <w:sz w:val="16"/>
          <w:szCs w:val="16"/>
        </w:rPr>
        <w:t xml:space="preserve">, </w:t>
      </w:r>
      <w:proofErr w:type="gramStart"/>
      <w:r w:rsidRPr="009F7864">
        <w:rPr>
          <w:rFonts w:ascii="Times New Roman" w:hAnsi="Times New Roman" w:cs="Times New Roman"/>
          <w:sz w:val="16"/>
          <w:szCs w:val="16"/>
        </w:rPr>
        <w:t>The</w:t>
      </w:r>
      <w:proofErr w:type="gramEnd"/>
      <w:r w:rsidRPr="009F7864">
        <w:rPr>
          <w:rFonts w:ascii="Times New Roman" w:hAnsi="Times New Roman" w:cs="Times New Roman"/>
          <w:sz w:val="16"/>
          <w:szCs w:val="16"/>
        </w:rPr>
        <w:t xml:space="preserve"> Words, trans. </w:t>
      </w:r>
      <w:proofErr w:type="spellStart"/>
      <w:r w:rsidRPr="009F7864">
        <w:rPr>
          <w:rFonts w:ascii="Times New Roman" w:hAnsi="Times New Roman" w:cs="Times New Roman"/>
          <w:sz w:val="16"/>
          <w:szCs w:val="16"/>
        </w:rPr>
        <w:t>Sukran</w:t>
      </w:r>
      <w:proofErr w:type="spellEnd"/>
      <w:r w:rsidRPr="009F7864">
        <w:rPr>
          <w:rFonts w:ascii="Times New Roman" w:hAnsi="Times New Roman" w:cs="Times New Roman"/>
          <w:sz w:val="16"/>
          <w:szCs w:val="16"/>
        </w:rPr>
        <w:t xml:space="preserve"> </w:t>
      </w:r>
      <w:proofErr w:type="spellStart"/>
      <w:r w:rsidRPr="009F7864">
        <w:rPr>
          <w:rFonts w:ascii="Times New Roman" w:hAnsi="Times New Roman" w:cs="Times New Roman"/>
          <w:sz w:val="16"/>
          <w:szCs w:val="16"/>
        </w:rPr>
        <w:t>Vahide</w:t>
      </w:r>
      <w:proofErr w:type="spellEnd"/>
      <w:r w:rsidRPr="009F7864">
        <w:rPr>
          <w:rFonts w:ascii="Times New Roman" w:hAnsi="Times New Roman" w:cs="Times New Roman"/>
          <w:sz w:val="16"/>
          <w:szCs w:val="16"/>
        </w:rPr>
        <w:t xml:space="preserve"> (Istanbul, 1995), 501.</w:t>
      </w:r>
    </w:p>
  </w:footnote>
  <w:footnote w:id="12">
    <w:p w:rsidR="009F3B8E" w:rsidRPr="009F7864" w:rsidRDefault="009F3B8E" w:rsidP="009F3B8E">
      <w:pPr>
        <w:pStyle w:val="FootnoteText"/>
        <w:rPr>
          <w:rFonts w:ascii="Times New Roman" w:hAnsi="Times New Roman" w:cs="Times New Roman"/>
          <w:sz w:val="16"/>
          <w:szCs w:val="16"/>
          <w:lang w:val="en-US"/>
        </w:rPr>
      </w:pPr>
      <w:r w:rsidRPr="009F7864">
        <w:rPr>
          <w:rStyle w:val="FootnoteReference"/>
          <w:rFonts w:ascii="Times New Roman" w:hAnsi="Times New Roman" w:cs="Times New Roman"/>
          <w:sz w:val="16"/>
          <w:szCs w:val="16"/>
        </w:rPr>
        <w:footnoteRef/>
      </w:r>
      <w:r w:rsidRPr="009F7864">
        <w:rPr>
          <w:rFonts w:ascii="Times New Roman" w:hAnsi="Times New Roman" w:cs="Times New Roman"/>
          <w:sz w:val="16"/>
          <w:szCs w:val="16"/>
        </w:rPr>
        <w:t xml:space="preserve"> </w:t>
      </w:r>
      <w:proofErr w:type="spellStart"/>
      <w:proofErr w:type="gramStart"/>
      <w:r w:rsidRPr="009F7864">
        <w:rPr>
          <w:rFonts w:ascii="Times New Roman" w:hAnsi="Times New Roman" w:cs="Times New Roman"/>
          <w:sz w:val="16"/>
          <w:szCs w:val="16"/>
        </w:rPr>
        <w:t>Hasan</w:t>
      </w:r>
      <w:proofErr w:type="spellEnd"/>
      <w:r w:rsidRPr="009F7864">
        <w:rPr>
          <w:rFonts w:ascii="Times New Roman" w:hAnsi="Times New Roman" w:cs="Times New Roman"/>
          <w:sz w:val="16"/>
          <w:szCs w:val="16"/>
        </w:rPr>
        <w:t xml:space="preserve"> </w:t>
      </w:r>
      <w:proofErr w:type="spellStart"/>
      <w:r w:rsidRPr="009F7864">
        <w:rPr>
          <w:rFonts w:ascii="Times New Roman" w:hAnsi="Times New Roman" w:cs="Times New Roman"/>
          <w:sz w:val="16"/>
          <w:szCs w:val="16"/>
        </w:rPr>
        <w:t>Hörküç</w:t>
      </w:r>
      <w:proofErr w:type="spellEnd"/>
      <w:r w:rsidRPr="009F7864">
        <w:rPr>
          <w:rFonts w:ascii="Times New Roman" w:hAnsi="Times New Roman" w:cs="Times New Roman"/>
          <w:sz w:val="16"/>
          <w:szCs w:val="16"/>
        </w:rPr>
        <w:t xml:space="preserve">, “Said </w:t>
      </w:r>
      <w:proofErr w:type="spellStart"/>
      <w:r w:rsidRPr="009F7864">
        <w:rPr>
          <w:rFonts w:ascii="Times New Roman" w:hAnsi="Times New Roman" w:cs="Times New Roman"/>
          <w:sz w:val="16"/>
          <w:szCs w:val="16"/>
        </w:rPr>
        <w:t>Nursi</w:t>
      </w:r>
      <w:proofErr w:type="spellEnd"/>
      <w:r w:rsidRPr="009F7864">
        <w:rPr>
          <w:rFonts w:ascii="Times New Roman" w:hAnsi="Times New Roman" w:cs="Times New Roman"/>
          <w:sz w:val="16"/>
          <w:szCs w:val="16"/>
        </w:rPr>
        <w:t xml:space="preserve"> and Reactivating Pro-Active Islamic Ethics and Injunctions,” </w:t>
      </w:r>
      <w:proofErr w:type="spellStart"/>
      <w:r w:rsidRPr="009F7864">
        <w:rPr>
          <w:rFonts w:ascii="Times New Roman" w:hAnsi="Times New Roman" w:cs="Times New Roman"/>
          <w:i/>
          <w:sz w:val="16"/>
          <w:szCs w:val="16"/>
        </w:rPr>
        <w:t>Nursi</w:t>
      </w:r>
      <w:proofErr w:type="spellEnd"/>
      <w:r w:rsidRPr="009F7864">
        <w:rPr>
          <w:rFonts w:ascii="Times New Roman" w:hAnsi="Times New Roman" w:cs="Times New Roman"/>
          <w:i/>
          <w:sz w:val="16"/>
          <w:szCs w:val="16"/>
        </w:rPr>
        <w:t xml:space="preserve"> Studies</w:t>
      </w:r>
      <w:r w:rsidRPr="009F7864">
        <w:rPr>
          <w:rFonts w:ascii="Times New Roman" w:hAnsi="Times New Roman" w:cs="Times New Roman"/>
          <w:sz w:val="16"/>
          <w:szCs w:val="16"/>
        </w:rPr>
        <w:t xml:space="preserve">, </w:t>
      </w:r>
      <w:hyperlink r:id="rId3" w:history="1">
        <w:r w:rsidRPr="009F7864">
          <w:rPr>
            <w:rStyle w:val="Hyperlink"/>
            <w:rFonts w:ascii="Times New Roman" w:hAnsi="Times New Roman" w:cs="Times New Roman"/>
            <w:sz w:val="16"/>
            <w:szCs w:val="16"/>
          </w:rPr>
          <w:t>http://nursistudies.com/teblig.php?tno=525</w:t>
        </w:r>
      </w:hyperlink>
      <w:r w:rsidRPr="009F7864">
        <w:rPr>
          <w:rFonts w:ascii="Times New Roman" w:hAnsi="Times New Roman" w:cs="Times New Roman"/>
          <w:sz w:val="16"/>
          <w:szCs w:val="16"/>
        </w:rPr>
        <w:t>.</w:t>
      </w:r>
      <w:proofErr w:type="gramEnd"/>
      <w:r w:rsidRPr="009F7864">
        <w:rPr>
          <w:rFonts w:ascii="Times New Roman" w:hAnsi="Times New Roman" w:cs="Times New Roman"/>
          <w:sz w:val="16"/>
          <w:szCs w:val="16"/>
        </w:rPr>
        <w:t xml:space="preserve"> </w:t>
      </w:r>
    </w:p>
  </w:footnote>
  <w:footnote w:id="13">
    <w:p w:rsidR="009F3B8E" w:rsidRPr="009F7864" w:rsidRDefault="009F3B8E" w:rsidP="009F3B8E">
      <w:pPr>
        <w:pStyle w:val="FootnoteText"/>
        <w:rPr>
          <w:rFonts w:ascii="Times New Roman" w:hAnsi="Times New Roman" w:cs="Times New Roman"/>
          <w:sz w:val="16"/>
          <w:szCs w:val="16"/>
          <w:lang w:val="en-US"/>
        </w:rPr>
      </w:pPr>
      <w:r w:rsidRPr="009F7864">
        <w:rPr>
          <w:rStyle w:val="FootnoteReference"/>
          <w:rFonts w:ascii="Times New Roman" w:hAnsi="Times New Roman" w:cs="Times New Roman"/>
          <w:sz w:val="16"/>
          <w:szCs w:val="16"/>
        </w:rPr>
        <w:footnoteRef/>
      </w:r>
      <w:r w:rsidRPr="009F7864">
        <w:rPr>
          <w:rFonts w:ascii="Times New Roman" w:hAnsi="Times New Roman" w:cs="Times New Roman"/>
          <w:sz w:val="16"/>
          <w:szCs w:val="16"/>
        </w:rPr>
        <w:t xml:space="preserve"> </w:t>
      </w:r>
      <w:proofErr w:type="spellStart"/>
      <w:r w:rsidRPr="009F7864">
        <w:rPr>
          <w:rFonts w:ascii="Times New Roman" w:hAnsi="Times New Roman" w:cs="Times New Roman"/>
          <w:sz w:val="16"/>
          <w:szCs w:val="16"/>
        </w:rPr>
        <w:t>Bediuzzaman</w:t>
      </w:r>
      <w:proofErr w:type="spellEnd"/>
      <w:r w:rsidRPr="009F7864">
        <w:rPr>
          <w:rFonts w:ascii="Times New Roman" w:hAnsi="Times New Roman" w:cs="Times New Roman"/>
          <w:sz w:val="16"/>
          <w:szCs w:val="16"/>
        </w:rPr>
        <w:t xml:space="preserve"> Said </w:t>
      </w:r>
      <w:proofErr w:type="spellStart"/>
      <w:r w:rsidRPr="009F7864">
        <w:rPr>
          <w:rFonts w:ascii="Times New Roman" w:hAnsi="Times New Roman" w:cs="Times New Roman"/>
          <w:sz w:val="16"/>
          <w:szCs w:val="16"/>
        </w:rPr>
        <w:t>Nursi</w:t>
      </w:r>
      <w:proofErr w:type="spellEnd"/>
      <w:r w:rsidRPr="009F7864">
        <w:rPr>
          <w:rFonts w:ascii="Times New Roman" w:hAnsi="Times New Roman" w:cs="Times New Roman"/>
          <w:sz w:val="16"/>
          <w:szCs w:val="16"/>
        </w:rPr>
        <w:t xml:space="preserve">, </w:t>
      </w:r>
      <w:proofErr w:type="gramStart"/>
      <w:r w:rsidRPr="009F7864">
        <w:rPr>
          <w:rFonts w:ascii="Times New Roman" w:hAnsi="Times New Roman" w:cs="Times New Roman"/>
          <w:sz w:val="16"/>
          <w:szCs w:val="16"/>
        </w:rPr>
        <w:t>The</w:t>
      </w:r>
      <w:proofErr w:type="gramEnd"/>
      <w:r w:rsidRPr="009F7864">
        <w:rPr>
          <w:rFonts w:ascii="Times New Roman" w:hAnsi="Times New Roman" w:cs="Times New Roman"/>
          <w:sz w:val="16"/>
          <w:szCs w:val="16"/>
        </w:rPr>
        <w:t xml:space="preserve"> Words, trans. </w:t>
      </w:r>
      <w:proofErr w:type="spellStart"/>
      <w:r w:rsidRPr="009F7864">
        <w:rPr>
          <w:rFonts w:ascii="Times New Roman" w:hAnsi="Times New Roman" w:cs="Times New Roman"/>
          <w:sz w:val="16"/>
          <w:szCs w:val="16"/>
        </w:rPr>
        <w:t>Sukran</w:t>
      </w:r>
      <w:proofErr w:type="spellEnd"/>
      <w:r w:rsidRPr="009F7864">
        <w:rPr>
          <w:rFonts w:ascii="Times New Roman" w:hAnsi="Times New Roman" w:cs="Times New Roman"/>
          <w:sz w:val="16"/>
          <w:szCs w:val="16"/>
        </w:rPr>
        <w:t xml:space="preserve"> </w:t>
      </w:r>
      <w:proofErr w:type="spellStart"/>
      <w:r w:rsidRPr="009F7864">
        <w:rPr>
          <w:rFonts w:ascii="Times New Roman" w:hAnsi="Times New Roman" w:cs="Times New Roman"/>
          <w:sz w:val="16"/>
          <w:szCs w:val="16"/>
        </w:rPr>
        <w:t>Vahide</w:t>
      </w:r>
      <w:proofErr w:type="spellEnd"/>
      <w:r w:rsidRPr="009F7864">
        <w:rPr>
          <w:rFonts w:ascii="Times New Roman" w:hAnsi="Times New Roman" w:cs="Times New Roman"/>
          <w:sz w:val="16"/>
          <w:szCs w:val="16"/>
        </w:rPr>
        <w:t xml:space="preserve"> (Istanbul, 1995), 201.</w:t>
      </w:r>
    </w:p>
  </w:footnote>
  <w:footnote w:id="14">
    <w:p w:rsidR="009F3B8E" w:rsidRPr="009F7864" w:rsidRDefault="009F3B8E" w:rsidP="009F3B8E">
      <w:pPr>
        <w:pStyle w:val="FootnoteText"/>
        <w:rPr>
          <w:rFonts w:ascii="Times New Roman" w:hAnsi="Times New Roman" w:cs="Times New Roman"/>
          <w:sz w:val="16"/>
          <w:szCs w:val="16"/>
          <w:lang w:val="en-US"/>
        </w:rPr>
      </w:pPr>
      <w:r w:rsidRPr="009F7864">
        <w:rPr>
          <w:rStyle w:val="FootnoteReference"/>
          <w:rFonts w:ascii="Times New Roman" w:hAnsi="Times New Roman" w:cs="Times New Roman"/>
          <w:sz w:val="16"/>
          <w:szCs w:val="16"/>
        </w:rPr>
        <w:footnoteRef/>
      </w:r>
      <w:r w:rsidRPr="009F7864">
        <w:rPr>
          <w:rFonts w:ascii="Times New Roman" w:hAnsi="Times New Roman" w:cs="Times New Roman"/>
          <w:sz w:val="16"/>
          <w:szCs w:val="16"/>
        </w:rPr>
        <w:t xml:space="preserve"> </w:t>
      </w:r>
      <w:proofErr w:type="spellStart"/>
      <w:r w:rsidRPr="009F7864">
        <w:rPr>
          <w:rFonts w:ascii="Times New Roman" w:hAnsi="Times New Roman" w:cs="Times New Roman"/>
          <w:sz w:val="16"/>
          <w:szCs w:val="16"/>
        </w:rPr>
        <w:t>Bediuzzaman</w:t>
      </w:r>
      <w:proofErr w:type="spellEnd"/>
      <w:r w:rsidRPr="009F7864">
        <w:rPr>
          <w:rFonts w:ascii="Times New Roman" w:hAnsi="Times New Roman" w:cs="Times New Roman"/>
          <w:sz w:val="16"/>
          <w:szCs w:val="16"/>
        </w:rPr>
        <w:t xml:space="preserve"> Said </w:t>
      </w:r>
      <w:proofErr w:type="spellStart"/>
      <w:r w:rsidRPr="009F7864">
        <w:rPr>
          <w:rFonts w:ascii="Times New Roman" w:hAnsi="Times New Roman" w:cs="Times New Roman"/>
          <w:sz w:val="16"/>
          <w:szCs w:val="16"/>
        </w:rPr>
        <w:t>Nursi</w:t>
      </w:r>
      <w:proofErr w:type="spellEnd"/>
      <w:r w:rsidRPr="009F7864">
        <w:rPr>
          <w:rFonts w:ascii="Times New Roman" w:hAnsi="Times New Roman" w:cs="Times New Roman"/>
          <w:sz w:val="16"/>
          <w:szCs w:val="16"/>
        </w:rPr>
        <w:t xml:space="preserve">, </w:t>
      </w:r>
      <w:proofErr w:type="gramStart"/>
      <w:r w:rsidRPr="009F7864">
        <w:rPr>
          <w:rFonts w:ascii="Times New Roman" w:hAnsi="Times New Roman" w:cs="Times New Roman"/>
          <w:sz w:val="16"/>
          <w:szCs w:val="16"/>
        </w:rPr>
        <w:t>The</w:t>
      </w:r>
      <w:proofErr w:type="gramEnd"/>
      <w:r w:rsidRPr="009F7864">
        <w:rPr>
          <w:rFonts w:ascii="Times New Roman" w:hAnsi="Times New Roman" w:cs="Times New Roman"/>
          <w:sz w:val="16"/>
          <w:szCs w:val="16"/>
        </w:rPr>
        <w:t xml:space="preserve"> Words, trans. </w:t>
      </w:r>
      <w:proofErr w:type="spellStart"/>
      <w:r w:rsidRPr="009F7864">
        <w:rPr>
          <w:rFonts w:ascii="Times New Roman" w:hAnsi="Times New Roman" w:cs="Times New Roman"/>
          <w:sz w:val="16"/>
          <w:szCs w:val="16"/>
        </w:rPr>
        <w:t>Sukran</w:t>
      </w:r>
      <w:proofErr w:type="spellEnd"/>
      <w:r w:rsidRPr="009F7864">
        <w:rPr>
          <w:rFonts w:ascii="Times New Roman" w:hAnsi="Times New Roman" w:cs="Times New Roman"/>
          <w:sz w:val="16"/>
          <w:szCs w:val="16"/>
        </w:rPr>
        <w:t xml:space="preserve"> </w:t>
      </w:r>
      <w:proofErr w:type="spellStart"/>
      <w:r w:rsidRPr="009F7864">
        <w:rPr>
          <w:rFonts w:ascii="Times New Roman" w:hAnsi="Times New Roman" w:cs="Times New Roman"/>
          <w:sz w:val="16"/>
          <w:szCs w:val="16"/>
        </w:rPr>
        <w:t>Vahide</w:t>
      </w:r>
      <w:proofErr w:type="spellEnd"/>
      <w:r w:rsidRPr="009F7864">
        <w:rPr>
          <w:rFonts w:ascii="Times New Roman" w:hAnsi="Times New Roman" w:cs="Times New Roman"/>
          <w:sz w:val="16"/>
          <w:szCs w:val="16"/>
        </w:rPr>
        <w:t xml:space="preserve"> (Istanbul, 1995), 203.</w:t>
      </w:r>
    </w:p>
  </w:footnote>
  <w:footnote w:id="15">
    <w:p w:rsidR="009F3B8E" w:rsidRPr="009F7864" w:rsidRDefault="009F3B8E" w:rsidP="009F3B8E">
      <w:pPr>
        <w:pStyle w:val="FootnoteText"/>
        <w:rPr>
          <w:rFonts w:ascii="Times New Roman" w:hAnsi="Times New Roman" w:cs="Times New Roman"/>
          <w:sz w:val="16"/>
          <w:szCs w:val="16"/>
          <w:lang w:val="en-US"/>
        </w:rPr>
      </w:pPr>
      <w:r w:rsidRPr="009F7864">
        <w:rPr>
          <w:rStyle w:val="FootnoteReference"/>
          <w:rFonts w:ascii="Times New Roman" w:hAnsi="Times New Roman" w:cs="Times New Roman"/>
          <w:sz w:val="16"/>
          <w:szCs w:val="16"/>
        </w:rPr>
        <w:footnoteRef/>
      </w:r>
      <w:r w:rsidRPr="009F7864">
        <w:rPr>
          <w:rFonts w:ascii="Times New Roman" w:hAnsi="Times New Roman" w:cs="Times New Roman"/>
          <w:sz w:val="16"/>
          <w:szCs w:val="16"/>
        </w:rPr>
        <w:t xml:space="preserve"> </w:t>
      </w:r>
      <w:proofErr w:type="spellStart"/>
      <w:r w:rsidRPr="009F7864">
        <w:rPr>
          <w:rFonts w:ascii="Times New Roman" w:hAnsi="Times New Roman" w:cs="Times New Roman"/>
          <w:sz w:val="16"/>
          <w:szCs w:val="16"/>
        </w:rPr>
        <w:t>Inès</w:t>
      </w:r>
      <w:proofErr w:type="spellEnd"/>
      <w:r w:rsidRPr="009F7864">
        <w:rPr>
          <w:rFonts w:ascii="Times New Roman" w:hAnsi="Times New Roman" w:cs="Times New Roman"/>
          <w:sz w:val="16"/>
          <w:szCs w:val="16"/>
        </w:rPr>
        <w:t xml:space="preserve"> </w:t>
      </w:r>
      <w:proofErr w:type="spellStart"/>
      <w:r w:rsidRPr="009F7864">
        <w:rPr>
          <w:rFonts w:ascii="Times New Roman" w:hAnsi="Times New Roman" w:cs="Times New Roman"/>
          <w:sz w:val="16"/>
          <w:szCs w:val="16"/>
        </w:rPr>
        <w:t>Oueslati</w:t>
      </w:r>
      <w:proofErr w:type="spellEnd"/>
      <w:r w:rsidRPr="009F7864">
        <w:rPr>
          <w:rFonts w:ascii="Times New Roman" w:hAnsi="Times New Roman" w:cs="Times New Roman"/>
          <w:sz w:val="16"/>
          <w:szCs w:val="16"/>
        </w:rPr>
        <w:t>, “</w:t>
      </w:r>
      <w:proofErr w:type="spellStart"/>
      <w:r w:rsidRPr="009F7864">
        <w:rPr>
          <w:rFonts w:ascii="Times New Roman" w:hAnsi="Times New Roman" w:cs="Times New Roman"/>
          <w:sz w:val="16"/>
          <w:szCs w:val="16"/>
        </w:rPr>
        <w:t>Salafist</w:t>
      </w:r>
      <w:proofErr w:type="spellEnd"/>
      <w:r w:rsidRPr="009F7864">
        <w:rPr>
          <w:rFonts w:ascii="Times New Roman" w:hAnsi="Times New Roman" w:cs="Times New Roman"/>
          <w:sz w:val="16"/>
          <w:szCs w:val="16"/>
        </w:rPr>
        <w:t xml:space="preserve"> Arsonists Target Tunisian Heritage </w:t>
      </w:r>
      <w:proofErr w:type="spellStart"/>
      <w:r w:rsidRPr="009F7864">
        <w:rPr>
          <w:rFonts w:ascii="Times New Roman" w:hAnsi="Times New Roman" w:cs="Times New Roman"/>
          <w:sz w:val="16"/>
          <w:szCs w:val="16"/>
        </w:rPr>
        <w:t>Sites,”</w:t>
      </w:r>
      <w:r w:rsidRPr="009F7864">
        <w:rPr>
          <w:rFonts w:ascii="Times New Roman" w:hAnsi="Times New Roman" w:cs="Times New Roman"/>
          <w:i/>
          <w:sz w:val="16"/>
          <w:szCs w:val="16"/>
        </w:rPr>
        <w:t>Al</w:t>
      </w:r>
      <w:proofErr w:type="spellEnd"/>
      <w:r w:rsidRPr="009F7864">
        <w:rPr>
          <w:rFonts w:ascii="Times New Roman" w:hAnsi="Times New Roman" w:cs="Times New Roman"/>
          <w:i/>
          <w:sz w:val="16"/>
          <w:szCs w:val="16"/>
        </w:rPr>
        <w:t>-Monitor</w:t>
      </w:r>
      <w:r w:rsidRPr="009F7864">
        <w:rPr>
          <w:rFonts w:ascii="Times New Roman" w:hAnsi="Times New Roman" w:cs="Times New Roman"/>
          <w:sz w:val="16"/>
          <w:szCs w:val="16"/>
        </w:rPr>
        <w:t xml:space="preserve">, 28 January 2013, </w:t>
      </w:r>
      <w:hyperlink r:id="rId4" w:history="1">
        <w:r w:rsidRPr="009F7864">
          <w:rPr>
            <w:rStyle w:val="Hyperlink"/>
            <w:rFonts w:ascii="Times New Roman" w:hAnsi="Times New Roman" w:cs="Times New Roman"/>
            <w:sz w:val="16"/>
            <w:szCs w:val="16"/>
          </w:rPr>
          <w:t>http://www.al-monitor.com/pulse/culture/2013/01/attacks-target-tunisian-heritage-sites.html</w:t>
        </w:r>
      </w:hyperlink>
      <w:r w:rsidRPr="009F7864">
        <w:rPr>
          <w:rFonts w:ascii="Times New Roman" w:hAnsi="Times New Roman" w:cs="Times New Roman"/>
          <w:sz w:val="16"/>
          <w:szCs w:val="16"/>
          <w:lang w:val="en-US"/>
        </w:rPr>
        <w:t>.</w:t>
      </w:r>
    </w:p>
  </w:footnote>
  <w:footnote w:id="16">
    <w:p w:rsidR="009F3B8E" w:rsidRDefault="009F3B8E" w:rsidP="009F3B8E">
      <w:pPr>
        <w:pStyle w:val="FootnoteText"/>
        <w:rPr>
          <w:rFonts w:ascii="Times New Roman" w:hAnsi="Times New Roman" w:cs="Times New Roman"/>
          <w:sz w:val="16"/>
          <w:szCs w:val="16"/>
        </w:rPr>
      </w:pPr>
      <w:r w:rsidRPr="009F7864">
        <w:rPr>
          <w:rStyle w:val="FootnoteReference"/>
          <w:rFonts w:ascii="Times New Roman" w:hAnsi="Times New Roman" w:cs="Times New Roman"/>
          <w:sz w:val="16"/>
          <w:szCs w:val="16"/>
        </w:rPr>
        <w:footnoteRef/>
      </w:r>
      <w:r w:rsidRPr="009F7864">
        <w:rPr>
          <w:rFonts w:ascii="Times New Roman" w:hAnsi="Times New Roman" w:cs="Times New Roman"/>
          <w:sz w:val="16"/>
          <w:szCs w:val="16"/>
        </w:rPr>
        <w:t xml:space="preserve"> </w:t>
      </w:r>
      <w:proofErr w:type="spellStart"/>
      <w:r>
        <w:rPr>
          <w:rFonts w:ascii="Times New Roman" w:hAnsi="Times New Roman" w:cs="Times New Roman"/>
          <w:sz w:val="16"/>
          <w:szCs w:val="16"/>
        </w:rPr>
        <w:t>Bernama</w:t>
      </w:r>
      <w:proofErr w:type="spellEnd"/>
      <w:r>
        <w:rPr>
          <w:rFonts w:ascii="Times New Roman" w:hAnsi="Times New Roman" w:cs="Times New Roman"/>
          <w:sz w:val="16"/>
          <w:szCs w:val="16"/>
        </w:rPr>
        <w:t xml:space="preserve">, </w:t>
      </w:r>
      <w:r w:rsidRPr="009F7864">
        <w:rPr>
          <w:rFonts w:ascii="Times New Roman" w:hAnsi="Times New Roman" w:cs="Times New Roman"/>
          <w:sz w:val="16"/>
          <w:szCs w:val="16"/>
        </w:rPr>
        <w:t xml:space="preserve">“No Violation </w:t>
      </w:r>
      <w:proofErr w:type="gramStart"/>
      <w:r w:rsidRPr="009F7864">
        <w:rPr>
          <w:rFonts w:ascii="Times New Roman" w:hAnsi="Times New Roman" w:cs="Times New Roman"/>
          <w:sz w:val="16"/>
          <w:szCs w:val="16"/>
        </w:rPr>
        <w:t>Of</w:t>
      </w:r>
      <w:proofErr w:type="gramEnd"/>
      <w:r w:rsidRPr="009F7864">
        <w:rPr>
          <w:rFonts w:ascii="Times New Roman" w:hAnsi="Times New Roman" w:cs="Times New Roman"/>
          <w:sz w:val="16"/>
          <w:szCs w:val="16"/>
        </w:rPr>
        <w:t xml:space="preserve"> Human Rights In Ban Of </w:t>
      </w:r>
      <w:proofErr w:type="spellStart"/>
      <w:r w:rsidRPr="009F7864">
        <w:rPr>
          <w:rFonts w:ascii="Times New Roman" w:hAnsi="Times New Roman" w:cs="Times New Roman"/>
          <w:sz w:val="16"/>
          <w:szCs w:val="16"/>
        </w:rPr>
        <w:t>Syiah</w:t>
      </w:r>
      <w:proofErr w:type="spellEnd"/>
      <w:r w:rsidRPr="009F7864">
        <w:rPr>
          <w:rFonts w:ascii="Times New Roman" w:hAnsi="Times New Roman" w:cs="Times New Roman"/>
          <w:sz w:val="16"/>
          <w:szCs w:val="16"/>
        </w:rPr>
        <w:t xml:space="preserve"> Teachings - </w:t>
      </w:r>
      <w:proofErr w:type="spellStart"/>
      <w:r w:rsidRPr="009F7864">
        <w:rPr>
          <w:rFonts w:ascii="Times New Roman" w:hAnsi="Times New Roman" w:cs="Times New Roman"/>
          <w:sz w:val="16"/>
          <w:szCs w:val="16"/>
        </w:rPr>
        <w:t>Jamil</w:t>
      </w:r>
      <w:proofErr w:type="spellEnd"/>
      <w:r w:rsidRPr="009F7864">
        <w:rPr>
          <w:rFonts w:ascii="Times New Roman" w:hAnsi="Times New Roman" w:cs="Times New Roman"/>
          <w:sz w:val="16"/>
          <w:szCs w:val="16"/>
        </w:rPr>
        <w:t xml:space="preserve"> </w:t>
      </w:r>
      <w:proofErr w:type="spellStart"/>
      <w:r w:rsidRPr="009F7864">
        <w:rPr>
          <w:rFonts w:ascii="Times New Roman" w:hAnsi="Times New Roman" w:cs="Times New Roman"/>
          <w:sz w:val="16"/>
          <w:szCs w:val="16"/>
        </w:rPr>
        <w:t>Khir</w:t>
      </w:r>
      <w:proofErr w:type="spellEnd"/>
      <w:r w:rsidRPr="009F7864">
        <w:rPr>
          <w:rFonts w:ascii="Times New Roman" w:hAnsi="Times New Roman" w:cs="Times New Roman"/>
          <w:sz w:val="16"/>
          <w:szCs w:val="16"/>
        </w:rPr>
        <w:t>,”</w:t>
      </w:r>
      <w:r>
        <w:rPr>
          <w:rFonts w:ascii="Times New Roman" w:hAnsi="Times New Roman" w:cs="Times New Roman"/>
          <w:sz w:val="16"/>
          <w:szCs w:val="16"/>
        </w:rPr>
        <w:t xml:space="preserve"> 20</w:t>
      </w:r>
      <w:r w:rsidRPr="009F7864">
        <w:rPr>
          <w:rFonts w:ascii="Times New Roman" w:hAnsi="Times New Roman" w:cs="Times New Roman"/>
          <w:sz w:val="16"/>
          <w:szCs w:val="16"/>
        </w:rPr>
        <w:t xml:space="preserve"> </w:t>
      </w:r>
      <w:r>
        <w:rPr>
          <w:rFonts w:ascii="Times New Roman" w:hAnsi="Times New Roman" w:cs="Times New Roman"/>
          <w:sz w:val="16"/>
          <w:szCs w:val="16"/>
        </w:rPr>
        <w:t>July</w:t>
      </w:r>
      <w:r w:rsidRPr="009F7864">
        <w:rPr>
          <w:rFonts w:ascii="Times New Roman" w:hAnsi="Times New Roman" w:cs="Times New Roman"/>
          <w:sz w:val="16"/>
          <w:szCs w:val="16"/>
        </w:rPr>
        <w:t xml:space="preserve"> 2013, </w:t>
      </w:r>
      <w:hyperlink r:id="rId5" w:history="1">
        <w:r w:rsidRPr="00BE5CDF">
          <w:rPr>
            <w:rStyle w:val="Hyperlink"/>
            <w:rFonts w:ascii="Times New Roman" w:hAnsi="Times New Roman" w:cs="Times New Roman"/>
            <w:sz w:val="16"/>
            <w:szCs w:val="16"/>
          </w:rPr>
          <w:t>http://www.bernama.com/bernama/v7/newsindex.php?id=964909</w:t>
        </w:r>
      </w:hyperlink>
      <w:r>
        <w:rPr>
          <w:rFonts w:ascii="Times New Roman" w:hAnsi="Times New Roman" w:cs="Times New Roman"/>
          <w:sz w:val="16"/>
          <w:szCs w:val="16"/>
        </w:rPr>
        <w:t xml:space="preserve">. </w:t>
      </w:r>
    </w:p>
    <w:p w:rsidR="009F3B8E" w:rsidRDefault="009F3B8E" w:rsidP="009F3B8E">
      <w:pPr>
        <w:pStyle w:val="FootnoteText"/>
        <w:rPr>
          <w:rFonts w:ascii="Times New Roman" w:hAnsi="Times New Roman" w:cs="Times New Roman"/>
          <w:sz w:val="16"/>
          <w:szCs w:val="16"/>
        </w:rPr>
      </w:pPr>
    </w:p>
    <w:p w:rsidR="009F3B8E" w:rsidRPr="003140D2" w:rsidRDefault="009F3B8E" w:rsidP="009F3B8E">
      <w:pPr>
        <w:pStyle w:val="FootnoteText"/>
        <w:rPr>
          <w:rFonts w:ascii="Times New Roman" w:hAnsi="Times New Roman" w:cs="Times New Roman"/>
          <w:sz w:val="16"/>
          <w:szCs w:val="16"/>
        </w:rPr>
      </w:pPr>
    </w:p>
  </w:footnote>
  <w:footnote w:id="17">
    <w:p w:rsidR="009F3B8E" w:rsidRPr="009F767D" w:rsidRDefault="009F3B8E" w:rsidP="009F3B8E">
      <w:pPr>
        <w:spacing w:after="0"/>
        <w:rPr>
          <w:rFonts w:ascii="Times New Roman" w:hAnsi="Times New Roman" w:cs="Times New Roman"/>
          <w:sz w:val="16"/>
          <w:szCs w:val="16"/>
          <w:lang w:val="en-US"/>
        </w:rPr>
      </w:pPr>
      <w:r w:rsidRPr="009F767D">
        <w:rPr>
          <w:rStyle w:val="FootnoteReference"/>
          <w:rFonts w:ascii="Times New Roman" w:hAnsi="Times New Roman" w:cs="Times New Roman"/>
          <w:sz w:val="16"/>
          <w:szCs w:val="16"/>
        </w:rPr>
        <w:footnoteRef/>
      </w:r>
      <w:r w:rsidRPr="009F767D">
        <w:rPr>
          <w:rFonts w:ascii="Times New Roman" w:hAnsi="Times New Roman" w:cs="Times New Roman"/>
          <w:sz w:val="16"/>
          <w:szCs w:val="16"/>
        </w:rPr>
        <w:t xml:space="preserve"> </w:t>
      </w:r>
      <w:proofErr w:type="spellStart"/>
      <w:r w:rsidRPr="009F767D">
        <w:rPr>
          <w:rFonts w:ascii="Times New Roman" w:hAnsi="Times New Roman" w:cs="Times New Roman"/>
          <w:sz w:val="16"/>
          <w:szCs w:val="16"/>
          <w:lang w:val="en-US"/>
        </w:rPr>
        <w:t>Ashk</w:t>
      </w:r>
      <w:proofErr w:type="spellEnd"/>
      <w:r w:rsidRPr="009F767D">
        <w:rPr>
          <w:rFonts w:ascii="Times New Roman" w:hAnsi="Times New Roman" w:cs="Times New Roman"/>
          <w:sz w:val="16"/>
          <w:szCs w:val="16"/>
          <w:lang w:val="en-US"/>
        </w:rPr>
        <w:t xml:space="preserve"> </w:t>
      </w:r>
      <w:proofErr w:type="spellStart"/>
      <w:r w:rsidRPr="009F767D">
        <w:rPr>
          <w:rFonts w:ascii="Times New Roman" w:hAnsi="Times New Roman" w:cs="Times New Roman"/>
          <w:sz w:val="16"/>
          <w:szCs w:val="16"/>
          <w:lang w:val="en-US"/>
        </w:rPr>
        <w:t>Dahlén</w:t>
      </w:r>
      <w:proofErr w:type="spellEnd"/>
      <w:r w:rsidRPr="009F767D">
        <w:rPr>
          <w:rFonts w:ascii="Times New Roman" w:hAnsi="Times New Roman" w:cs="Times New Roman"/>
          <w:sz w:val="16"/>
          <w:szCs w:val="16"/>
          <w:lang w:val="en-US"/>
        </w:rPr>
        <w:t xml:space="preserve">, “Religious Pluralism among Muslim Intellectuals in Iran,” Ibrahim M. Abu Rabi’, ed., </w:t>
      </w:r>
      <w:proofErr w:type="gramStart"/>
      <w:r w:rsidRPr="009F767D">
        <w:rPr>
          <w:rFonts w:ascii="Times New Roman" w:hAnsi="Times New Roman" w:cs="Times New Roman"/>
          <w:sz w:val="16"/>
          <w:szCs w:val="16"/>
          <w:lang w:val="en-US"/>
        </w:rPr>
        <w:t>The</w:t>
      </w:r>
      <w:proofErr w:type="gramEnd"/>
      <w:r w:rsidRPr="009F767D">
        <w:rPr>
          <w:rFonts w:ascii="Times New Roman" w:hAnsi="Times New Roman" w:cs="Times New Roman"/>
          <w:sz w:val="16"/>
          <w:szCs w:val="16"/>
          <w:lang w:val="en-US"/>
        </w:rPr>
        <w:t xml:space="preserve"> Blackwell Companion to Contemporary Islamic Thought. </w:t>
      </w:r>
      <w:proofErr w:type="gramStart"/>
      <w:r w:rsidRPr="009F767D">
        <w:rPr>
          <w:rFonts w:ascii="Times New Roman" w:hAnsi="Times New Roman" w:cs="Times New Roman"/>
          <w:sz w:val="16"/>
          <w:szCs w:val="16"/>
          <w:lang w:val="en-US"/>
        </w:rPr>
        <w:t>(Malden, MA: Blackwell, 2006), 427.</w:t>
      </w:r>
      <w:proofErr w:type="gramEnd"/>
      <w:r w:rsidRPr="009F767D">
        <w:rPr>
          <w:rFonts w:ascii="Times New Roman" w:hAnsi="Times New Roman" w:cs="Times New Roman"/>
          <w:sz w:val="16"/>
          <w:szCs w:val="16"/>
          <w:lang w:val="en-US"/>
        </w:rPr>
        <w:t xml:space="preserve"> </w:t>
      </w:r>
    </w:p>
  </w:footnote>
  <w:footnote w:id="18">
    <w:p w:rsidR="009F3B8E" w:rsidRPr="009F767D" w:rsidRDefault="009F3B8E" w:rsidP="009F3B8E">
      <w:pPr>
        <w:pStyle w:val="FootnoteText"/>
        <w:rPr>
          <w:rFonts w:ascii="Times New Roman" w:hAnsi="Times New Roman" w:cs="Times New Roman"/>
          <w:sz w:val="16"/>
          <w:szCs w:val="16"/>
          <w:lang w:val="en-US"/>
        </w:rPr>
      </w:pPr>
      <w:r w:rsidRPr="009F767D">
        <w:rPr>
          <w:rStyle w:val="FootnoteReference"/>
          <w:rFonts w:ascii="Times New Roman" w:hAnsi="Times New Roman" w:cs="Times New Roman"/>
          <w:sz w:val="16"/>
          <w:szCs w:val="16"/>
        </w:rPr>
        <w:footnoteRef/>
      </w:r>
      <w:r w:rsidRPr="009F767D">
        <w:rPr>
          <w:rFonts w:ascii="Times New Roman" w:hAnsi="Times New Roman" w:cs="Times New Roman"/>
          <w:sz w:val="16"/>
          <w:szCs w:val="16"/>
        </w:rPr>
        <w:t xml:space="preserve"> </w:t>
      </w:r>
      <w:r w:rsidRPr="004D6191">
        <w:rPr>
          <w:rFonts w:ascii="Times New Roman" w:hAnsi="Times New Roman" w:cs="Times New Roman"/>
          <w:i/>
          <w:sz w:val="16"/>
          <w:szCs w:val="16"/>
          <w:lang w:val="en-US"/>
        </w:rPr>
        <w:t>Tempo</w:t>
      </w:r>
      <w:r w:rsidRPr="009F767D">
        <w:rPr>
          <w:rFonts w:ascii="Times New Roman" w:hAnsi="Times New Roman" w:cs="Times New Roman"/>
          <w:sz w:val="16"/>
          <w:szCs w:val="16"/>
          <w:lang w:val="en-US"/>
        </w:rPr>
        <w:t>, “Islamic Theology: Liberation Theology from Bombay,” 12 August 2002.</w:t>
      </w:r>
    </w:p>
  </w:footnote>
  <w:footnote w:id="19">
    <w:p w:rsidR="009F3B8E" w:rsidRPr="009F767D" w:rsidRDefault="009F3B8E" w:rsidP="009F3B8E">
      <w:pPr>
        <w:pStyle w:val="FootnoteText"/>
        <w:rPr>
          <w:rFonts w:ascii="Times New Roman" w:hAnsi="Times New Roman" w:cs="Times New Roman"/>
          <w:sz w:val="16"/>
          <w:szCs w:val="16"/>
        </w:rPr>
      </w:pPr>
      <w:r w:rsidRPr="009F767D">
        <w:rPr>
          <w:rStyle w:val="FootnoteReference"/>
          <w:rFonts w:ascii="Times New Roman" w:hAnsi="Times New Roman" w:cs="Times New Roman"/>
          <w:sz w:val="16"/>
          <w:szCs w:val="16"/>
        </w:rPr>
        <w:footnoteRef/>
      </w:r>
      <w:r w:rsidRPr="009F767D">
        <w:rPr>
          <w:rFonts w:ascii="Times New Roman" w:hAnsi="Times New Roman" w:cs="Times New Roman"/>
          <w:sz w:val="16"/>
          <w:szCs w:val="16"/>
        </w:rPr>
        <w:t xml:space="preserve"> </w:t>
      </w:r>
      <w:r w:rsidRPr="009F767D">
        <w:rPr>
          <w:rFonts w:ascii="Times New Roman" w:hAnsi="Times New Roman" w:cs="Times New Roman"/>
          <w:i/>
          <w:iCs/>
          <w:sz w:val="16"/>
          <w:szCs w:val="16"/>
        </w:rPr>
        <w:t>Council on Foreign Relations Backgrounder</w:t>
      </w:r>
      <w:r>
        <w:rPr>
          <w:rFonts w:ascii="Times New Roman" w:hAnsi="Times New Roman" w:cs="Times New Roman"/>
          <w:sz w:val="16"/>
          <w:szCs w:val="16"/>
        </w:rPr>
        <w:t>, “</w:t>
      </w:r>
      <w:proofErr w:type="spellStart"/>
      <w:r w:rsidRPr="009F767D">
        <w:rPr>
          <w:rFonts w:ascii="Times New Roman" w:hAnsi="Times New Roman" w:cs="Times New Roman"/>
          <w:sz w:val="16"/>
          <w:szCs w:val="16"/>
        </w:rPr>
        <w:t>Shari’a</w:t>
      </w:r>
      <w:proofErr w:type="spellEnd"/>
      <w:r w:rsidRPr="009F767D">
        <w:rPr>
          <w:rFonts w:ascii="Times New Roman" w:hAnsi="Times New Roman" w:cs="Times New Roman"/>
          <w:sz w:val="16"/>
          <w:szCs w:val="16"/>
        </w:rPr>
        <w:t xml:space="preserve"> alone and its implementation are made up of multiple understandings. Toni Johnson and Lauren </w:t>
      </w:r>
      <w:proofErr w:type="spellStart"/>
      <w:r w:rsidRPr="009F767D">
        <w:rPr>
          <w:rFonts w:ascii="Times New Roman" w:hAnsi="Times New Roman" w:cs="Times New Roman"/>
          <w:sz w:val="16"/>
          <w:szCs w:val="16"/>
        </w:rPr>
        <w:t>Vriens</w:t>
      </w:r>
      <w:proofErr w:type="spellEnd"/>
      <w:r w:rsidRPr="009F767D">
        <w:rPr>
          <w:rFonts w:ascii="Times New Roman" w:hAnsi="Times New Roman" w:cs="Times New Roman"/>
          <w:sz w:val="16"/>
          <w:szCs w:val="16"/>
        </w:rPr>
        <w:t xml:space="preserve">, “Islam: Governing </w:t>
      </w:r>
      <w:proofErr w:type="gramStart"/>
      <w:r w:rsidRPr="009F767D">
        <w:rPr>
          <w:rFonts w:ascii="Times New Roman" w:hAnsi="Times New Roman" w:cs="Times New Roman"/>
          <w:sz w:val="16"/>
          <w:szCs w:val="16"/>
        </w:rPr>
        <w:t>Under</w:t>
      </w:r>
      <w:proofErr w:type="gramEnd"/>
      <w:r w:rsidRPr="009F767D">
        <w:rPr>
          <w:rFonts w:ascii="Times New Roman" w:hAnsi="Times New Roman" w:cs="Times New Roman"/>
          <w:sz w:val="16"/>
          <w:szCs w:val="16"/>
        </w:rPr>
        <w:t xml:space="preserve"> Sharia,” 9 January 2013, </w:t>
      </w:r>
      <w:hyperlink r:id="rId6" w:history="1">
        <w:r w:rsidRPr="009F767D">
          <w:rPr>
            <w:rStyle w:val="Hyperlink"/>
            <w:rFonts w:ascii="Times New Roman" w:hAnsi="Times New Roman" w:cs="Times New Roman"/>
            <w:sz w:val="16"/>
            <w:szCs w:val="16"/>
          </w:rPr>
          <w:t>http://www.cfr.org/religion/islam-governing-under-sharia/p8034</w:t>
        </w:r>
      </w:hyperlink>
      <w:r w:rsidRPr="009F767D">
        <w:rPr>
          <w:rFonts w:ascii="Times New Roman" w:hAnsi="Times New Roman" w:cs="Times New Roman"/>
          <w:sz w:val="16"/>
          <w:szCs w:val="16"/>
        </w:rPr>
        <w:t xml:space="preserve">. </w:t>
      </w:r>
    </w:p>
  </w:footnote>
  <w:footnote w:id="20">
    <w:p w:rsidR="009F3B8E" w:rsidRPr="009F767D" w:rsidRDefault="009F3B8E" w:rsidP="009F3B8E">
      <w:pPr>
        <w:autoSpaceDE w:val="0"/>
        <w:autoSpaceDN w:val="0"/>
        <w:adjustRightInd w:val="0"/>
        <w:spacing w:after="0" w:line="240" w:lineRule="auto"/>
        <w:rPr>
          <w:rFonts w:ascii="Times New Roman" w:hAnsi="Times New Roman" w:cs="Times New Roman"/>
          <w:sz w:val="16"/>
          <w:szCs w:val="16"/>
        </w:rPr>
      </w:pPr>
      <w:r w:rsidRPr="009F767D">
        <w:rPr>
          <w:rStyle w:val="FootnoteReference"/>
          <w:rFonts w:ascii="Times New Roman" w:hAnsi="Times New Roman" w:cs="Times New Roman"/>
          <w:sz w:val="16"/>
          <w:szCs w:val="16"/>
        </w:rPr>
        <w:footnoteRef/>
      </w:r>
      <w:r w:rsidRPr="009F767D">
        <w:rPr>
          <w:rFonts w:ascii="Times New Roman" w:hAnsi="Times New Roman" w:cs="Times New Roman"/>
          <w:sz w:val="16"/>
          <w:szCs w:val="16"/>
        </w:rPr>
        <w:t xml:space="preserve"> </w:t>
      </w:r>
      <w:proofErr w:type="spellStart"/>
      <w:r w:rsidRPr="009F7864">
        <w:rPr>
          <w:rFonts w:ascii="Times New Roman" w:hAnsi="Times New Roman" w:cs="Times New Roman"/>
          <w:sz w:val="16"/>
          <w:szCs w:val="16"/>
        </w:rPr>
        <w:t>Bediuzzaman</w:t>
      </w:r>
      <w:proofErr w:type="spellEnd"/>
      <w:r w:rsidRPr="009F7864">
        <w:rPr>
          <w:rFonts w:ascii="Times New Roman" w:hAnsi="Times New Roman" w:cs="Times New Roman"/>
          <w:sz w:val="16"/>
          <w:szCs w:val="16"/>
        </w:rPr>
        <w:t xml:space="preserve"> Said </w:t>
      </w:r>
      <w:proofErr w:type="spellStart"/>
      <w:r w:rsidRPr="009F7864">
        <w:rPr>
          <w:rFonts w:ascii="Times New Roman" w:hAnsi="Times New Roman" w:cs="Times New Roman"/>
          <w:sz w:val="16"/>
          <w:szCs w:val="16"/>
        </w:rPr>
        <w:t>Nursi</w:t>
      </w:r>
      <w:proofErr w:type="spellEnd"/>
      <w:r w:rsidRPr="009F7864">
        <w:rPr>
          <w:rFonts w:ascii="Times New Roman" w:hAnsi="Times New Roman" w:cs="Times New Roman"/>
          <w:sz w:val="16"/>
          <w:szCs w:val="16"/>
        </w:rPr>
        <w:t xml:space="preserve">, </w:t>
      </w:r>
      <w:proofErr w:type="gramStart"/>
      <w:r w:rsidRPr="009F7864">
        <w:rPr>
          <w:rFonts w:ascii="Times New Roman" w:hAnsi="Times New Roman" w:cs="Times New Roman"/>
          <w:sz w:val="16"/>
          <w:szCs w:val="16"/>
        </w:rPr>
        <w:t>The</w:t>
      </w:r>
      <w:proofErr w:type="gramEnd"/>
      <w:r w:rsidRPr="009F7864">
        <w:rPr>
          <w:rFonts w:ascii="Times New Roman" w:hAnsi="Times New Roman" w:cs="Times New Roman"/>
          <w:sz w:val="16"/>
          <w:szCs w:val="16"/>
        </w:rPr>
        <w:t xml:space="preserve"> </w:t>
      </w:r>
      <w:r>
        <w:rPr>
          <w:rFonts w:ascii="Times New Roman" w:hAnsi="Times New Roman" w:cs="Times New Roman"/>
          <w:sz w:val="16"/>
          <w:szCs w:val="16"/>
        </w:rPr>
        <w:t>Rays</w:t>
      </w:r>
      <w:r w:rsidRPr="009F7864">
        <w:rPr>
          <w:rFonts w:ascii="Times New Roman" w:hAnsi="Times New Roman" w:cs="Times New Roman"/>
          <w:sz w:val="16"/>
          <w:szCs w:val="16"/>
        </w:rPr>
        <w:t xml:space="preserve">, trans. </w:t>
      </w:r>
      <w:proofErr w:type="spellStart"/>
      <w:r w:rsidRPr="009F7864">
        <w:rPr>
          <w:rFonts w:ascii="Times New Roman" w:hAnsi="Times New Roman" w:cs="Times New Roman"/>
          <w:sz w:val="16"/>
          <w:szCs w:val="16"/>
        </w:rPr>
        <w:t>Sukran</w:t>
      </w:r>
      <w:proofErr w:type="spellEnd"/>
      <w:r w:rsidRPr="009F7864">
        <w:rPr>
          <w:rFonts w:ascii="Times New Roman" w:hAnsi="Times New Roman" w:cs="Times New Roman"/>
          <w:sz w:val="16"/>
          <w:szCs w:val="16"/>
        </w:rPr>
        <w:t xml:space="preserve"> </w:t>
      </w:r>
      <w:proofErr w:type="spellStart"/>
      <w:r w:rsidRPr="009F7864">
        <w:rPr>
          <w:rFonts w:ascii="Times New Roman" w:hAnsi="Times New Roman" w:cs="Times New Roman"/>
          <w:sz w:val="16"/>
          <w:szCs w:val="16"/>
        </w:rPr>
        <w:t>Vahide</w:t>
      </w:r>
      <w:proofErr w:type="spellEnd"/>
      <w:r w:rsidRPr="009F7864">
        <w:rPr>
          <w:rFonts w:ascii="Times New Roman" w:hAnsi="Times New Roman" w:cs="Times New Roman"/>
          <w:sz w:val="16"/>
          <w:szCs w:val="16"/>
        </w:rPr>
        <w:t xml:space="preserve"> (Istanbul, 1995), </w:t>
      </w:r>
      <w:r>
        <w:rPr>
          <w:rFonts w:ascii="Times New Roman" w:hAnsi="Times New Roman" w:cs="Times New Roman"/>
          <w:sz w:val="16"/>
          <w:szCs w:val="16"/>
        </w:rPr>
        <w:t>386</w:t>
      </w:r>
      <w:r w:rsidRPr="009F7864">
        <w:rPr>
          <w:rFonts w:ascii="Times New Roman" w:hAnsi="Times New Roman" w:cs="Times New Roman"/>
          <w:sz w:val="16"/>
          <w:szCs w:val="16"/>
        </w:rPr>
        <w:t>.</w:t>
      </w:r>
    </w:p>
  </w:footnote>
  <w:footnote w:id="21">
    <w:p w:rsidR="009F3B8E" w:rsidRPr="008C661A" w:rsidRDefault="009F3B8E" w:rsidP="009F3B8E">
      <w:pPr>
        <w:autoSpaceDE w:val="0"/>
        <w:autoSpaceDN w:val="0"/>
        <w:adjustRightInd w:val="0"/>
        <w:spacing w:after="0" w:line="240" w:lineRule="auto"/>
        <w:rPr>
          <w:rFonts w:ascii="Times New Roman" w:hAnsi="Times New Roman" w:cs="Times New Roman"/>
          <w:bCs/>
          <w:color w:val="000000"/>
          <w:sz w:val="16"/>
          <w:szCs w:val="16"/>
        </w:rPr>
      </w:pPr>
      <w:r w:rsidRPr="009F767D">
        <w:rPr>
          <w:rStyle w:val="FootnoteReference"/>
          <w:rFonts w:ascii="Times New Roman" w:hAnsi="Times New Roman" w:cs="Times New Roman"/>
          <w:sz w:val="16"/>
          <w:szCs w:val="16"/>
        </w:rPr>
        <w:footnoteRef/>
      </w:r>
      <w:r w:rsidRPr="009F767D">
        <w:rPr>
          <w:rFonts w:ascii="Times New Roman" w:hAnsi="Times New Roman" w:cs="Times New Roman"/>
          <w:sz w:val="16"/>
          <w:szCs w:val="16"/>
        </w:rPr>
        <w:t xml:space="preserve"> </w:t>
      </w:r>
      <w:proofErr w:type="spellStart"/>
      <w:r w:rsidRPr="008C661A">
        <w:rPr>
          <w:rFonts w:ascii="Times New Roman" w:hAnsi="Times New Roman" w:cs="Times New Roman"/>
          <w:sz w:val="16"/>
          <w:szCs w:val="16"/>
        </w:rPr>
        <w:t>Asghar</w:t>
      </w:r>
      <w:proofErr w:type="spellEnd"/>
      <w:r w:rsidRPr="008C661A">
        <w:rPr>
          <w:rFonts w:ascii="Times New Roman" w:hAnsi="Times New Roman" w:cs="Times New Roman"/>
          <w:sz w:val="16"/>
          <w:szCs w:val="16"/>
        </w:rPr>
        <w:t xml:space="preserve"> Ali Engineer, “</w:t>
      </w:r>
      <w:r w:rsidRPr="008C661A">
        <w:rPr>
          <w:rFonts w:ascii="Times New Roman" w:hAnsi="Times New Roman" w:cs="Times New Roman"/>
          <w:bCs/>
          <w:color w:val="000000"/>
          <w:sz w:val="16"/>
          <w:szCs w:val="16"/>
        </w:rPr>
        <w:t xml:space="preserve">Islam </w:t>
      </w:r>
      <w:proofErr w:type="gramStart"/>
      <w:r w:rsidRPr="008C661A">
        <w:rPr>
          <w:rFonts w:ascii="Times New Roman" w:hAnsi="Times New Roman" w:cs="Times New Roman"/>
          <w:bCs/>
          <w:color w:val="000000"/>
          <w:sz w:val="16"/>
          <w:szCs w:val="16"/>
        </w:rPr>
        <w:t>And</w:t>
      </w:r>
      <w:proofErr w:type="gramEnd"/>
      <w:r w:rsidRPr="008C661A">
        <w:rPr>
          <w:rFonts w:ascii="Times New Roman" w:hAnsi="Times New Roman" w:cs="Times New Roman"/>
          <w:bCs/>
          <w:color w:val="000000"/>
          <w:sz w:val="16"/>
          <w:szCs w:val="16"/>
        </w:rPr>
        <w:t xml:space="preserve"> Pluralism,” </w:t>
      </w:r>
      <w:hyperlink r:id="rId7" w:history="1">
        <w:r w:rsidRPr="008C661A">
          <w:rPr>
            <w:rStyle w:val="Hyperlink"/>
            <w:rFonts w:ascii="Times New Roman" w:hAnsi="Times New Roman" w:cs="Times New Roman"/>
            <w:bCs/>
            <w:sz w:val="16"/>
            <w:szCs w:val="16"/>
          </w:rPr>
          <w:t>http://andromeda.rutgers.edu/~rtavakol/engineer/plurals.htm</w:t>
        </w:r>
      </w:hyperlink>
      <w:r>
        <w:rPr>
          <w:rFonts w:ascii="Times New Roman" w:hAnsi="Times New Roman" w:cs="Times New Roman"/>
          <w:bCs/>
          <w:color w:val="000000"/>
          <w:sz w:val="16"/>
          <w:szCs w:val="16"/>
        </w:rPr>
        <w:t>.</w:t>
      </w:r>
    </w:p>
    <w:p w:rsidR="009F3B8E" w:rsidRPr="009F767D" w:rsidRDefault="009F3B8E" w:rsidP="009F3B8E">
      <w:pPr>
        <w:pStyle w:val="FootnoteText"/>
        <w:rPr>
          <w:rFonts w:ascii="Times New Roman" w:hAnsi="Times New Roman" w:cs="Times New Roman"/>
          <w:sz w:val="16"/>
          <w:szCs w:val="16"/>
          <w:lang w:val="en-US"/>
        </w:rPr>
      </w:pPr>
      <w:r>
        <w:rPr>
          <w:rFonts w:ascii="Times New Roman" w:hAnsi="Times New Roman" w:cs="Times New Roman"/>
          <w:sz w:val="16"/>
          <w:szCs w:val="16"/>
          <w:lang w:val="en-US"/>
        </w:rPr>
        <w:t xml:space="preserve"> </w:t>
      </w:r>
    </w:p>
  </w:footnote>
  <w:footnote w:id="22">
    <w:p w:rsidR="009F3B8E" w:rsidRPr="007E7A5E" w:rsidRDefault="009F3B8E" w:rsidP="009F3B8E">
      <w:pPr>
        <w:spacing w:after="0"/>
        <w:rPr>
          <w:rFonts w:ascii="Times New Roman" w:hAnsi="Times New Roman" w:cs="Times New Roman"/>
          <w:sz w:val="16"/>
          <w:szCs w:val="16"/>
          <w:lang w:val="en-GB"/>
        </w:rPr>
      </w:pPr>
      <w:r w:rsidRPr="007E7A5E">
        <w:rPr>
          <w:rStyle w:val="FootnoteReference"/>
          <w:rFonts w:ascii="Times New Roman" w:hAnsi="Times New Roman" w:cs="Times New Roman"/>
          <w:sz w:val="16"/>
          <w:szCs w:val="16"/>
        </w:rPr>
        <w:footnoteRef/>
      </w:r>
      <w:r w:rsidRPr="007E7A5E">
        <w:rPr>
          <w:rFonts w:ascii="Times New Roman" w:hAnsi="Times New Roman" w:cs="Times New Roman"/>
          <w:sz w:val="16"/>
          <w:szCs w:val="16"/>
        </w:rPr>
        <w:t xml:space="preserve"> Syed Farid Alatas</w:t>
      </w:r>
      <w:r w:rsidRPr="007E7A5E">
        <w:rPr>
          <w:rFonts w:ascii="Times New Roman" w:hAnsi="Times New Roman" w:cs="Times New Roman"/>
          <w:sz w:val="16"/>
          <w:szCs w:val="16"/>
          <w:lang w:val="en-GB"/>
        </w:rPr>
        <w:t>, “</w:t>
      </w:r>
      <w:r w:rsidRPr="007E7A5E">
        <w:rPr>
          <w:rFonts w:ascii="Times New Roman" w:hAnsi="Times New Roman" w:cs="Times New Roman"/>
          <w:sz w:val="16"/>
          <w:szCs w:val="16"/>
        </w:rPr>
        <w:t xml:space="preserve">Justice, Balance and the Social Order in the Thought of </w:t>
      </w:r>
      <w:proofErr w:type="spellStart"/>
      <w:r w:rsidRPr="007E7A5E">
        <w:rPr>
          <w:rFonts w:ascii="Times New Roman" w:hAnsi="Times New Roman" w:cs="Times New Roman"/>
          <w:sz w:val="16"/>
          <w:szCs w:val="16"/>
        </w:rPr>
        <w:t>Bediuzzaman</w:t>
      </w:r>
      <w:proofErr w:type="spellEnd"/>
      <w:r w:rsidRPr="007E7A5E">
        <w:rPr>
          <w:rFonts w:ascii="Times New Roman" w:hAnsi="Times New Roman" w:cs="Times New Roman"/>
          <w:sz w:val="16"/>
          <w:szCs w:val="16"/>
        </w:rPr>
        <w:t xml:space="preserve"> Said </w:t>
      </w:r>
      <w:proofErr w:type="spellStart"/>
      <w:r w:rsidRPr="007E7A5E">
        <w:rPr>
          <w:rFonts w:ascii="Times New Roman" w:hAnsi="Times New Roman" w:cs="Times New Roman"/>
          <w:sz w:val="16"/>
          <w:szCs w:val="16"/>
        </w:rPr>
        <w:t>Nursi</w:t>
      </w:r>
      <w:proofErr w:type="spellEnd"/>
      <w:r w:rsidRPr="007E7A5E">
        <w:rPr>
          <w:rFonts w:ascii="Times New Roman" w:hAnsi="Times New Roman" w:cs="Times New Roman"/>
          <w:sz w:val="16"/>
          <w:szCs w:val="16"/>
          <w:lang w:val="en-GB"/>
        </w:rPr>
        <w:t xml:space="preserve">,” </w:t>
      </w:r>
      <w:proofErr w:type="spellStart"/>
      <w:r w:rsidRPr="007E7A5E">
        <w:rPr>
          <w:rFonts w:ascii="Times New Roman" w:hAnsi="Times New Roman" w:cs="Times New Roman"/>
          <w:i/>
          <w:sz w:val="16"/>
          <w:szCs w:val="16"/>
          <w:lang w:val="en-GB"/>
        </w:rPr>
        <w:t>Nursi</w:t>
      </w:r>
      <w:proofErr w:type="spellEnd"/>
      <w:r w:rsidRPr="007E7A5E">
        <w:rPr>
          <w:rFonts w:ascii="Times New Roman" w:hAnsi="Times New Roman" w:cs="Times New Roman"/>
          <w:i/>
          <w:sz w:val="16"/>
          <w:szCs w:val="16"/>
          <w:lang w:val="en-GB"/>
        </w:rPr>
        <w:t xml:space="preserve"> Studies</w:t>
      </w:r>
      <w:r w:rsidRPr="007E7A5E">
        <w:rPr>
          <w:rFonts w:ascii="Times New Roman" w:hAnsi="Times New Roman" w:cs="Times New Roman"/>
          <w:sz w:val="16"/>
          <w:szCs w:val="16"/>
          <w:lang w:val="en-GB"/>
        </w:rPr>
        <w:t xml:space="preserve">, </w:t>
      </w:r>
    </w:p>
    <w:p w:rsidR="009F3B8E" w:rsidRPr="007E7A5E" w:rsidRDefault="009F3B8E" w:rsidP="009F3B8E">
      <w:pPr>
        <w:spacing w:after="0"/>
        <w:rPr>
          <w:rFonts w:ascii="Times New Roman" w:eastAsia="TimesNewRoman" w:hAnsi="Times New Roman" w:cs="Times New Roman"/>
          <w:sz w:val="16"/>
          <w:szCs w:val="16"/>
          <w:u w:val="single"/>
          <w:lang w:eastAsia="tr-TR"/>
        </w:rPr>
      </w:pPr>
      <w:hyperlink r:id="rId8" w:history="1">
        <w:r w:rsidRPr="007E7A5E">
          <w:rPr>
            <w:rStyle w:val="Hyperlink"/>
            <w:rFonts w:ascii="Times New Roman" w:eastAsia="TimesNewRoman" w:hAnsi="Times New Roman" w:cs="Times New Roman"/>
            <w:sz w:val="16"/>
            <w:szCs w:val="16"/>
            <w:lang w:eastAsia="tr-TR"/>
          </w:rPr>
          <w:t>http://nursistudies.com/teblig.php?tno=476</w:t>
        </w:r>
      </w:hyperlink>
      <w:r w:rsidRPr="007E7A5E">
        <w:rPr>
          <w:rFonts w:ascii="Times New Roman" w:eastAsia="TimesNewRoman" w:hAnsi="Times New Roman" w:cs="Times New Roman"/>
          <w:sz w:val="16"/>
          <w:szCs w:val="16"/>
          <w:lang w:eastAsia="tr-TR"/>
        </w:rPr>
        <w:t>.</w:t>
      </w:r>
      <w:r w:rsidRPr="007E7A5E">
        <w:rPr>
          <w:rFonts w:ascii="Times New Roman" w:eastAsia="TimesNewRoman" w:hAnsi="Times New Roman" w:cs="Times New Roman"/>
          <w:sz w:val="16"/>
          <w:szCs w:val="16"/>
          <w:u w:val="single"/>
          <w:lang w:eastAsia="tr-TR"/>
        </w:rPr>
        <w:t xml:space="preserve"> </w:t>
      </w:r>
    </w:p>
  </w:footnote>
  <w:footnote w:id="23">
    <w:p w:rsidR="009F3B8E" w:rsidRPr="007E7A5E" w:rsidRDefault="009F3B8E" w:rsidP="009F3B8E">
      <w:pPr>
        <w:pStyle w:val="FootnoteText"/>
        <w:rPr>
          <w:rFonts w:ascii="Times New Roman" w:hAnsi="Times New Roman" w:cs="Times New Roman"/>
          <w:sz w:val="16"/>
          <w:szCs w:val="16"/>
        </w:rPr>
      </w:pPr>
      <w:r w:rsidRPr="007E7A5E">
        <w:rPr>
          <w:rStyle w:val="FootnoteReference"/>
          <w:rFonts w:ascii="Times New Roman" w:hAnsi="Times New Roman" w:cs="Times New Roman"/>
          <w:sz w:val="16"/>
          <w:szCs w:val="16"/>
        </w:rPr>
        <w:footnoteRef/>
      </w:r>
      <w:r w:rsidRPr="007E7A5E">
        <w:rPr>
          <w:rFonts w:ascii="Times New Roman" w:hAnsi="Times New Roman" w:cs="Times New Roman"/>
          <w:sz w:val="16"/>
          <w:szCs w:val="16"/>
        </w:rPr>
        <w:t xml:space="preserve"> </w:t>
      </w:r>
      <w:proofErr w:type="spellStart"/>
      <w:r w:rsidRPr="007E7A5E">
        <w:rPr>
          <w:rFonts w:ascii="Times New Roman" w:hAnsi="Times New Roman" w:cs="Times New Roman"/>
          <w:sz w:val="16"/>
          <w:szCs w:val="16"/>
        </w:rPr>
        <w:t>Sukran</w:t>
      </w:r>
      <w:proofErr w:type="spellEnd"/>
      <w:r w:rsidRPr="007E7A5E">
        <w:rPr>
          <w:rFonts w:ascii="Times New Roman" w:hAnsi="Times New Roman" w:cs="Times New Roman"/>
          <w:sz w:val="16"/>
          <w:szCs w:val="16"/>
        </w:rPr>
        <w:t xml:space="preserve"> </w:t>
      </w:r>
      <w:proofErr w:type="spellStart"/>
      <w:r w:rsidRPr="007E7A5E">
        <w:rPr>
          <w:rFonts w:ascii="Times New Roman" w:hAnsi="Times New Roman" w:cs="Times New Roman"/>
          <w:sz w:val="16"/>
          <w:szCs w:val="16"/>
        </w:rPr>
        <w:t>Vahide</w:t>
      </w:r>
      <w:proofErr w:type="spellEnd"/>
      <w:r w:rsidRPr="007E7A5E">
        <w:rPr>
          <w:rFonts w:ascii="Times New Roman" w:hAnsi="Times New Roman" w:cs="Times New Roman"/>
          <w:sz w:val="16"/>
          <w:szCs w:val="16"/>
        </w:rPr>
        <w:t xml:space="preserve">, Islam in Modern Turkey: An Intellectual Biography of </w:t>
      </w:r>
      <w:proofErr w:type="spellStart"/>
      <w:r w:rsidRPr="007E7A5E">
        <w:rPr>
          <w:rFonts w:ascii="Times New Roman" w:hAnsi="Times New Roman" w:cs="Times New Roman"/>
          <w:sz w:val="16"/>
          <w:szCs w:val="16"/>
        </w:rPr>
        <w:t>Bediuzzaman</w:t>
      </w:r>
      <w:proofErr w:type="spellEnd"/>
      <w:r w:rsidRPr="007E7A5E">
        <w:rPr>
          <w:rFonts w:ascii="Times New Roman" w:hAnsi="Times New Roman" w:cs="Times New Roman"/>
          <w:sz w:val="16"/>
          <w:szCs w:val="16"/>
        </w:rPr>
        <w:t xml:space="preserve"> Said </w:t>
      </w:r>
      <w:proofErr w:type="spellStart"/>
      <w:r w:rsidRPr="007E7A5E">
        <w:rPr>
          <w:rFonts w:ascii="Times New Roman" w:hAnsi="Times New Roman" w:cs="Times New Roman"/>
          <w:sz w:val="16"/>
          <w:szCs w:val="16"/>
        </w:rPr>
        <w:t>Nursi</w:t>
      </w:r>
      <w:proofErr w:type="spellEnd"/>
      <w:r w:rsidRPr="007E7A5E">
        <w:rPr>
          <w:rFonts w:ascii="Times New Roman" w:hAnsi="Times New Roman" w:cs="Times New Roman"/>
          <w:sz w:val="16"/>
          <w:szCs w:val="16"/>
        </w:rPr>
        <w:t xml:space="preserve"> (New York: State University of New York Press, 2005), 67. </w:t>
      </w:r>
    </w:p>
  </w:footnote>
  <w:footnote w:id="24">
    <w:p w:rsidR="009F3B8E" w:rsidRPr="007E7A5E" w:rsidRDefault="009F3B8E" w:rsidP="009F3B8E">
      <w:pPr>
        <w:pStyle w:val="FootnoteText"/>
        <w:rPr>
          <w:rFonts w:ascii="Times New Roman" w:hAnsi="Times New Roman" w:cs="Times New Roman"/>
          <w:sz w:val="16"/>
          <w:szCs w:val="16"/>
        </w:rPr>
      </w:pPr>
      <w:r w:rsidRPr="007E7A5E">
        <w:rPr>
          <w:rStyle w:val="FootnoteReference"/>
          <w:rFonts w:ascii="Times New Roman" w:hAnsi="Times New Roman" w:cs="Times New Roman"/>
          <w:sz w:val="16"/>
          <w:szCs w:val="16"/>
        </w:rPr>
        <w:footnoteRef/>
      </w:r>
      <w:r w:rsidRPr="007E7A5E">
        <w:rPr>
          <w:rFonts w:ascii="Times New Roman" w:hAnsi="Times New Roman" w:cs="Times New Roman"/>
          <w:sz w:val="16"/>
          <w:szCs w:val="16"/>
        </w:rPr>
        <w:t xml:space="preserve"> </w:t>
      </w:r>
      <w:proofErr w:type="gramStart"/>
      <w:r w:rsidRPr="007E7A5E">
        <w:rPr>
          <w:rFonts w:ascii="Times New Roman" w:hAnsi="Times New Roman" w:cs="Times New Roman"/>
          <w:sz w:val="16"/>
          <w:szCs w:val="16"/>
        </w:rPr>
        <w:t xml:space="preserve">Sami </w:t>
      </w:r>
      <w:proofErr w:type="spellStart"/>
      <w:r w:rsidRPr="007E7A5E">
        <w:rPr>
          <w:rFonts w:ascii="Times New Roman" w:hAnsi="Times New Roman" w:cs="Times New Roman"/>
          <w:sz w:val="16"/>
          <w:szCs w:val="16"/>
        </w:rPr>
        <w:t>Zubaida</w:t>
      </w:r>
      <w:proofErr w:type="spellEnd"/>
      <w:r w:rsidRPr="007E7A5E">
        <w:rPr>
          <w:rFonts w:ascii="Times New Roman" w:hAnsi="Times New Roman" w:cs="Times New Roman"/>
          <w:sz w:val="16"/>
          <w:szCs w:val="16"/>
        </w:rPr>
        <w:t xml:space="preserve">, “Islam and Secularization,” </w:t>
      </w:r>
      <w:r w:rsidRPr="007E7A5E">
        <w:rPr>
          <w:rFonts w:ascii="Times New Roman" w:hAnsi="Times New Roman" w:cs="Times New Roman"/>
          <w:i/>
          <w:sz w:val="16"/>
          <w:szCs w:val="16"/>
        </w:rPr>
        <w:t xml:space="preserve">Asian Journal of Social Science, </w:t>
      </w:r>
      <w:r w:rsidRPr="007E7A5E">
        <w:rPr>
          <w:rFonts w:ascii="Times New Roman" w:hAnsi="Times New Roman" w:cs="Times New Roman"/>
          <w:sz w:val="16"/>
          <w:szCs w:val="16"/>
        </w:rPr>
        <w:t>33, 2005, 442.</w:t>
      </w:r>
      <w:proofErr w:type="gramEnd"/>
    </w:p>
  </w:footnote>
  <w:footnote w:id="25">
    <w:p w:rsidR="009F3B8E" w:rsidRPr="007E7A5E" w:rsidRDefault="009F3B8E" w:rsidP="009F3B8E">
      <w:pPr>
        <w:pStyle w:val="FootnoteText"/>
        <w:rPr>
          <w:rFonts w:ascii="Times New Roman" w:hAnsi="Times New Roman" w:cs="Times New Roman"/>
          <w:sz w:val="16"/>
          <w:szCs w:val="16"/>
        </w:rPr>
      </w:pPr>
      <w:r w:rsidRPr="007E7A5E">
        <w:rPr>
          <w:rStyle w:val="FootnoteReference"/>
          <w:rFonts w:ascii="Times New Roman" w:hAnsi="Times New Roman" w:cs="Times New Roman"/>
          <w:sz w:val="16"/>
          <w:szCs w:val="16"/>
        </w:rPr>
        <w:footnoteRef/>
      </w:r>
      <w:r w:rsidRPr="007E7A5E">
        <w:rPr>
          <w:rFonts w:ascii="Times New Roman" w:hAnsi="Times New Roman" w:cs="Times New Roman"/>
          <w:sz w:val="16"/>
          <w:szCs w:val="16"/>
        </w:rPr>
        <w:t xml:space="preserve"> M. </w:t>
      </w:r>
      <w:proofErr w:type="spellStart"/>
      <w:r w:rsidRPr="007E7A5E">
        <w:rPr>
          <w:rFonts w:ascii="Times New Roman" w:hAnsi="Times New Roman" w:cs="Times New Roman"/>
          <w:sz w:val="16"/>
          <w:szCs w:val="16"/>
        </w:rPr>
        <w:t>Hakan</w:t>
      </w:r>
      <w:proofErr w:type="spellEnd"/>
      <w:r w:rsidRPr="007E7A5E">
        <w:rPr>
          <w:rFonts w:ascii="Times New Roman" w:hAnsi="Times New Roman" w:cs="Times New Roman"/>
          <w:sz w:val="16"/>
          <w:szCs w:val="16"/>
        </w:rPr>
        <w:t xml:space="preserve"> </w:t>
      </w:r>
      <w:proofErr w:type="spellStart"/>
      <w:r w:rsidRPr="007E7A5E">
        <w:rPr>
          <w:rFonts w:ascii="Times New Roman" w:hAnsi="Times New Roman" w:cs="Times New Roman"/>
          <w:sz w:val="16"/>
          <w:szCs w:val="16"/>
        </w:rPr>
        <w:t>Yavuz</w:t>
      </w:r>
      <w:proofErr w:type="spellEnd"/>
      <w:r w:rsidRPr="007E7A5E">
        <w:rPr>
          <w:rFonts w:ascii="Times New Roman" w:hAnsi="Times New Roman" w:cs="Times New Roman"/>
          <w:sz w:val="16"/>
          <w:szCs w:val="16"/>
        </w:rPr>
        <w:t xml:space="preserve"> and John L. Esposito, Turkish Islam and the Secular State (Syracuse, NY: Syracuse University Press, 2003), 12.</w:t>
      </w:r>
    </w:p>
  </w:footnote>
  <w:footnote w:id="26">
    <w:p w:rsidR="009F3B8E" w:rsidRPr="007E7A5E" w:rsidRDefault="009F3B8E" w:rsidP="009F3B8E">
      <w:pPr>
        <w:pStyle w:val="FootnoteText"/>
        <w:rPr>
          <w:rFonts w:ascii="Times New Roman" w:hAnsi="Times New Roman" w:cs="Times New Roman"/>
          <w:sz w:val="16"/>
          <w:szCs w:val="16"/>
          <w:lang w:val="en-US"/>
        </w:rPr>
      </w:pPr>
      <w:r w:rsidRPr="007E7A5E">
        <w:rPr>
          <w:rStyle w:val="FootnoteReference"/>
          <w:rFonts w:ascii="Times New Roman" w:hAnsi="Times New Roman" w:cs="Times New Roman"/>
          <w:sz w:val="18"/>
          <w:szCs w:val="18"/>
        </w:rPr>
        <w:footnoteRef/>
      </w:r>
      <w:r w:rsidRPr="007E7A5E">
        <w:rPr>
          <w:rFonts w:ascii="Times New Roman" w:hAnsi="Times New Roman" w:cs="Times New Roman"/>
          <w:sz w:val="18"/>
          <w:szCs w:val="18"/>
        </w:rPr>
        <w:t xml:space="preserve"> </w:t>
      </w:r>
      <w:proofErr w:type="spellStart"/>
      <w:r w:rsidRPr="007E7A5E">
        <w:rPr>
          <w:rFonts w:ascii="Times New Roman" w:hAnsi="Times New Roman" w:cs="Times New Roman"/>
          <w:sz w:val="16"/>
          <w:szCs w:val="16"/>
        </w:rPr>
        <w:t>Bediuzzaman</w:t>
      </w:r>
      <w:proofErr w:type="spellEnd"/>
      <w:r w:rsidRPr="007E7A5E">
        <w:rPr>
          <w:rFonts w:ascii="Times New Roman" w:hAnsi="Times New Roman" w:cs="Times New Roman"/>
          <w:sz w:val="16"/>
          <w:szCs w:val="16"/>
        </w:rPr>
        <w:t xml:space="preserve"> Said </w:t>
      </w:r>
      <w:proofErr w:type="spellStart"/>
      <w:r w:rsidRPr="007E7A5E">
        <w:rPr>
          <w:rFonts w:ascii="Times New Roman" w:hAnsi="Times New Roman" w:cs="Times New Roman"/>
          <w:sz w:val="16"/>
          <w:szCs w:val="16"/>
        </w:rPr>
        <w:t>Nursi</w:t>
      </w:r>
      <w:proofErr w:type="spellEnd"/>
      <w:r w:rsidRPr="007E7A5E">
        <w:rPr>
          <w:rFonts w:ascii="Times New Roman" w:hAnsi="Times New Roman" w:cs="Times New Roman"/>
          <w:sz w:val="16"/>
          <w:szCs w:val="16"/>
        </w:rPr>
        <w:t xml:space="preserve">, </w:t>
      </w:r>
      <w:proofErr w:type="gramStart"/>
      <w:r w:rsidRPr="007E7A5E">
        <w:rPr>
          <w:rFonts w:ascii="Times New Roman" w:hAnsi="Times New Roman" w:cs="Times New Roman"/>
          <w:sz w:val="16"/>
          <w:szCs w:val="16"/>
        </w:rPr>
        <w:t>The</w:t>
      </w:r>
      <w:proofErr w:type="gramEnd"/>
      <w:r w:rsidRPr="007E7A5E">
        <w:rPr>
          <w:rFonts w:ascii="Times New Roman" w:hAnsi="Times New Roman" w:cs="Times New Roman"/>
          <w:sz w:val="16"/>
          <w:szCs w:val="16"/>
        </w:rPr>
        <w:t xml:space="preserve"> Letters, trans. </w:t>
      </w:r>
      <w:proofErr w:type="spellStart"/>
      <w:r w:rsidRPr="007E7A5E">
        <w:rPr>
          <w:rFonts w:ascii="Times New Roman" w:hAnsi="Times New Roman" w:cs="Times New Roman"/>
          <w:sz w:val="16"/>
          <w:szCs w:val="16"/>
        </w:rPr>
        <w:t>Sukran</w:t>
      </w:r>
      <w:proofErr w:type="spellEnd"/>
      <w:r w:rsidRPr="007E7A5E">
        <w:rPr>
          <w:rFonts w:ascii="Times New Roman" w:hAnsi="Times New Roman" w:cs="Times New Roman"/>
          <w:sz w:val="16"/>
          <w:szCs w:val="16"/>
        </w:rPr>
        <w:t xml:space="preserve"> </w:t>
      </w:r>
      <w:proofErr w:type="spellStart"/>
      <w:r w:rsidRPr="007E7A5E">
        <w:rPr>
          <w:rFonts w:ascii="Times New Roman" w:hAnsi="Times New Roman" w:cs="Times New Roman"/>
          <w:sz w:val="16"/>
          <w:szCs w:val="16"/>
        </w:rPr>
        <w:t>Vahide</w:t>
      </w:r>
      <w:proofErr w:type="spellEnd"/>
      <w:r w:rsidRPr="007E7A5E">
        <w:rPr>
          <w:rFonts w:ascii="Times New Roman" w:hAnsi="Times New Roman" w:cs="Times New Roman"/>
          <w:sz w:val="16"/>
          <w:szCs w:val="16"/>
        </w:rPr>
        <w:t xml:space="preserve"> (Istanbul, 1995), 314.</w:t>
      </w:r>
    </w:p>
  </w:footnote>
  <w:footnote w:id="27">
    <w:p w:rsidR="009F3B8E" w:rsidRPr="007E7A5E" w:rsidRDefault="009F3B8E" w:rsidP="009F3B8E">
      <w:pPr>
        <w:pStyle w:val="FootnoteText"/>
        <w:rPr>
          <w:rFonts w:ascii="Times New Roman" w:hAnsi="Times New Roman" w:cs="Times New Roman"/>
          <w:sz w:val="16"/>
          <w:szCs w:val="16"/>
          <w:lang w:val="en-US"/>
        </w:rPr>
      </w:pPr>
      <w:r w:rsidRPr="007E7A5E">
        <w:rPr>
          <w:rStyle w:val="FootnoteReference"/>
          <w:rFonts w:ascii="Times New Roman" w:hAnsi="Times New Roman" w:cs="Times New Roman"/>
        </w:rPr>
        <w:footnoteRef/>
      </w:r>
      <w:r w:rsidRPr="007E7A5E">
        <w:rPr>
          <w:rFonts w:ascii="Times New Roman" w:hAnsi="Times New Roman" w:cs="Times New Roman"/>
        </w:rPr>
        <w:t xml:space="preserve"> </w:t>
      </w:r>
      <w:proofErr w:type="spellStart"/>
      <w:r w:rsidRPr="007E7A5E">
        <w:rPr>
          <w:rFonts w:ascii="Times New Roman" w:hAnsi="Times New Roman" w:cs="Times New Roman"/>
          <w:sz w:val="16"/>
          <w:szCs w:val="16"/>
        </w:rPr>
        <w:t>Bediuzzaman</w:t>
      </w:r>
      <w:proofErr w:type="spellEnd"/>
      <w:r w:rsidRPr="007E7A5E">
        <w:rPr>
          <w:rFonts w:ascii="Times New Roman" w:hAnsi="Times New Roman" w:cs="Times New Roman"/>
          <w:sz w:val="16"/>
          <w:szCs w:val="16"/>
        </w:rPr>
        <w:t xml:space="preserve"> Said </w:t>
      </w:r>
      <w:proofErr w:type="spellStart"/>
      <w:r w:rsidRPr="007E7A5E">
        <w:rPr>
          <w:rFonts w:ascii="Times New Roman" w:hAnsi="Times New Roman" w:cs="Times New Roman"/>
          <w:sz w:val="16"/>
          <w:szCs w:val="16"/>
        </w:rPr>
        <w:t>Nursi</w:t>
      </w:r>
      <w:proofErr w:type="spellEnd"/>
      <w:r w:rsidRPr="007E7A5E">
        <w:rPr>
          <w:rFonts w:ascii="Times New Roman" w:hAnsi="Times New Roman" w:cs="Times New Roman"/>
          <w:sz w:val="16"/>
          <w:szCs w:val="16"/>
        </w:rPr>
        <w:t xml:space="preserve">, </w:t>
      </w:r>
      <w:proofErr w:type="gramStart"/>
      <w:r w:rsidRPr="007E7A5E">
        <w:rPr>
          <w:rFonts w:ascii="Times New Roman" w:hAnsi="Times New Roman" w:cs="Times New Roman"/>
          <w:sz w:val="16"/>
          <w:szCs w:val="16"/>
        </w:rPr>
        <w:t>The</w:t>
      </w:r>
      <w:proofErr w:type="gramEnd"/>
      <w:r w:rsidRPr="007E7A5E">
        <w:rPr>
          <w:rFonts w:ascii="Times New Roman" w:hAnsi="Times New Roman" w:cs="Times New Roman"/>
          <w:sz w:val="16"/>
          <w:szCs w:val="16"/>
        </w:rPr>
        <w:t xml:space="preserve"> Letters, trans. </w:t>
      </w:r>
      <w:proofErr w:type="spellStart"/>
      <w:r w:rsidRPr="007E7A5E">
        <w:rPr>
          <w:rFonts w:ascii="Times New Roman" w:hAnsi="Times New Roman" w:cs="Times New Roman"/>
          <w:sz w:val="16"/>
          <w:szCs w:val="16"/>
        </w:rPr>
        <w:t>Sukran</w:t>
      </w:r>
      <w:proofErr w:type="spellEnd"/>
      <w:r w:rsidRPr="007E7A5E">
        <w:rPr>
          <w:rFonts w:ascii="Times New Roman" w:hAnsi="Times New Roman" w:cs="Times New Roman"/>
          <w:sz w:val="16"/>
          <w:szCs w:val="16"/>
        </w:rPr>
        <w:t xml:space="preserve"> </w:t>
      </w:r>
      <w:proofErr w:type="spellStart"/>
      <w:r w:rsidRPr="007E7A5E">
        <w:rPr>
          <w:rFonts w:ascii="Times New Roman" w:hAnsi="Times New Roman" w:cs="Times New Roman"/>
          <w:sz w:val="16"/>
          <w:szCs w:val="16"/>
        </w:rPr>
        <w:t>Vahide</w:t>
      </w:r>
      <w:proofErr w:type="spellEnd"/>
      <w:r w:rsidRPr="007E7A5E">
        <w:rPr>
          <w:rFonts w:ascii="Times New Roman" w:hAnsi="Times New Roman" w:cs="Times New Roman"/>
          <w:sz w:val="16"/>
          <w:szCs w:val="16"/>
        </w:rPr>
        <w:t xml:space="preserve"> (Istanbul, 1995), 311.</w:t>
      </w:r>
    </w:p>
    <w:p w:rsidR="009F3B8E" w:rsidRPr="007E7A5E" w:rsidRDefault="009F3B8E" w:rsidP="009F3B8E">
      <w:pPr>
        <w:pStyle w:val="FootnoteText"/>
        <w:rPr>
          <w:lang w:val="en-US"/>
        </w:rPr>
      </w:pPr>
    </w:p>
  </w:footnote>
  <w:footnote w:id="28">
    <w:p w:rsidR="009F3B8E" w:rsidRPr="00853026" w:rsidRDefault="009F3B8E" w:rsidP="009F3B8E">
      <w:pPr>
        <w:pStyle w:val="FootnoteText"/>
        <w:rPr>
          <w:rFonts w:ascii="Times New Roman" w:hAnsi="Times New Roman" w:cs="Times New Roman"/>
          <w:sz w:val="18"/>
          <w:szCs w:val="18"/>
          <w:lang w:val="en-US"/>
        </w:rPr>
      </w:pPr>
      <w:r w:rsidRPr="00853026">
        <w:rPr>
          <w:rStyle w:val="FootnoteReference"/>
          <w:rFonts w:ascii="Times New Roman" w:hAnsi="Times New Roman" w:cs="Times New Roman"/>
          <w:sz w:val="18"/>
          <w:szCs w:val="18"/>
        </w:rPr>
        <w:footnoteRef/>
      </w:r>
      <w:r w:rsidRPr="00853026">
        <w:rPr>
          <w:rFonts w:ascii="Times New Roman" w:hAnsi="Times New Roman" w:cs="Times New Roman"/>
          <w:sz w:val="18"/>
          <w:szCs w:val="18"/>
        </w:rPr>
        <w:t xml:space="preserve"> </w:t>
      </w:r>
      <w:proofErr w:type="spellStart"/>
      <w:r w:rsidRPr="007E7A5E">
        <w:rPr>
          <w:rFonts w:ascii="Times New Roman" w:hAnsi="Times New Roman" w:cs="Times New Roman"/>
          <w:sz w:val="16"/>
          <w:szCs w:val="16"/>
        </w:rPr>
        <w:t>Bediuzzaman</w:t>
      </w:r>
      <w:proofErr w:type="spellEnd"/>
      <w:r w:rsidRPr="007E7A5E">
        <w:rPr>
          <w:rFonts w:ascii="Times New Roman" w:hAnsi="Times New Roman" w:cs="Times New Roman"/>
          <w:sz w:val="16"/>
          <w:szCs w:val="16"/>
        </w:rPr>
        <w:t xml:space="preserve"> Said </w:t>
      </w:r>
      <w:proofErr w:type="spellStart"/>
      <w:r w:rsidRPr="007E7A5E">
        <w:rPr>
          <w:rFonts w:ascii="Times New Roman" w:hAnsi="Times New Roman" w:cs="Times New Roman"/>
          <w:sz w:val="16"/>
          <w:szCs w:val="16"/>
        </w:rPr>
        <w:t>Nursi</w:t>
      </w:r>
      <w:proofErr w:type="spellEnd"/>
      <w:r w:rsidRPr="007E7A5E">
        <w:rPr>
          <w:rFonts w:ascii="Times New Roman" w:hAnsi="Times New Roman" w:cs="Times New Roman"/>
          <w:sz w:val="16"/>
          <w:szCs w:val="16"/>
        </w:rPr>
        <w:t xml:space="preserve">, </w:t>
      </w:r>
      <w:proofErr w:type="gramStart"/>
      <w:r w:rsidRPr="007E7A5E">
        <w:rPr>
          <w:rFonts w:ascii="Times New Roman" w:hAnsi="Times New Roman" w:cs="Times New Roman"/>
          <w:sz w:val="16"/>
          <w:szCs w:val="16"/>
        </w:rPr>
        <w:t>The</w:t>
      </w:r>
      <w:proofErr w:type="gramEnd"/>
      <w:r>
        <w:rPr>
          <w:rFonts w:ascii="Times New Roman" w:hAnsi="Times New Roman" w:cs="Times New Roman"/>
          <w:sz w:val="16"/>
          <w:szCs w:val="16"/>
        </w:rPr>
        <w:t xml:space="preserve"> Ray</w:t>
      </w:r>
      <w:r w:rsidRPr="007E7A5E">
        <w:rPr>
          <w:rFonts w:ascii="Times New Roman" w:hAnsi="Times New Roman" w:cs="Times New Roman"/>
          <w:sz w:val="16"/>
          <w:szCs w:val="16"/>
        </w:rPr>
        <w:t xml:space="preserve">s, trans. </w:t>
      </w:r>
      <w:proofErr w:type="spellStart"/>
      <w:r w:rsidRPr="007E7A5E">
        <w:rPr>
          <w:rFonts w:ascii="Times New Roman" w:hAnsi="Times New Roman" w:cs="Times New Roman"/>
          <w:sz w:val="16"/>
          <w:szCs w:val="16"/>
        </w:rPr>
        <w:t>Sukran</w:t>
      </w:r>
      <w:proofErr w:type="spellEnd"/>
      <w:r w:rsidRPr="007E7A5E">
        <w:rPr>
          <w:rFonts w:ascii="Times New Roman" w:hAnsi="Times New Roman" w:cs="Times New Roman"/>
          <w:sz w:val="16"/>
          <w:szCs w:val="16"/>
        </w:rPr>
        <w:t xml:space="preserve"> </w:t>
      </w:r>
      <w:proofErr w:type="spellStart"/>
      <w:r w:rsidRPr="007E7A5E">
        <w:rPr>
          <w:rFonts w:ascii="Times New Roman" w:hAnsi="Times New Roman" w:cs="Times New Roman"/>
          <w:sz w:val="16"/>
          <w:szCs w:val="16"/>
        </w:rPr>
        <w:t>Vahide</w:t>
      </w:r>
      <w:proofErr w:type="spellEnd"/>
      <w:r w:rsidRPr="007E7A5E">
        <w:rPr>
          <w:rFonts w:ascii="Times New Roman" w:hAnsi="Times New Roman" w:cs="Times New Roman"/>
          <w:sz w:val="16"/>
          <w:szCs w:val="16"/>
        </w:rPr>
        <w:t xml:space="preserve"> (Istanbul, 1995), 3</w:t>
      </w:r>
      <w:r>
        <w:rPr>
          <w:rFonts w:ascii="Times New Roman" w:hAnsi="Times New Roman" w:cs="Times New Roman"/>
          <w:sz w:val="16"/>
          <w:szCs w:val="16"/>
        </w:rPr>
        <w:t>07</w:t>
      </w:r>
      <w:r w:rsidRPr="007E7A5E">
        <w:rPr>
          <w:rFonts w:ascii="Times New Roman" w:hAnsi="Times New Roman" w:cs="Times New Roman"/>
          <w:sz w:val="16"/>
          <w:szCs w:val="16"/>
        </w:rPr>
        <w:t>.</w:t>
      </w:r>
      <w:r>
        <w:rPr>
          <w:rFonts w:ascii="Times New Roman" w:hAnsi="Times New Roman" w:cs="Times New Roman"/>
          <w:sz w:val="16"/>
          <w:szCs w:val="16"/>
        </w:rPr>
        <w:t xml:space="preserve"> </w:t>
      </w:r>
    </w:p>
  </w:footnote>
  <w:footnote w:id="29">
    <w:p w:rsidR="009F3B8E" w:rsidRPr="00853026" w:rsidRDefault="009F3B8E" w:rsidP="009F3B8E">
      <w:pPr>
        <w:pStyle w:val="FootnoteText"/>
        <w:rPr>
          <w:rFonts w:ascii="Times New Roman" w:hAnsi="Times New Roman" w:cs="Times New Roman"/>
          <w:sz w:val="18"/>
          <w:szCs w:val="18"/>
          <w:lang w:val="en-US"/>
        </w:rPr>
      </w:pPr>
      <w:r w:rsidRPr="00853026">
        <w:rPr>
          <w:rStyle w:val="FootnoteReference"/>
          <w:rFonts w:ascii="Times New Roman" w:hAnsi="Times New Roman" w:cs="Times New Roman"/>
          <w:sz w:val="18"/>
          <w:szCs w:val="18"/>
        </w:rPr>
        <w:footnoteRef/>
      </w:r>
      <w:r w:rsidRPr="00853026">
        <w:rPr>
          <w:rFonts w:ascii="Times New Roman" w:hAnsi="Times New Roman" w:cs="Times New Roman"/>
          <w:sz w:val="18"/>
          <w:szCs w:val="18"/>
        </w:rPr>
        <w:t xml:space="preserve"> </w:t>
      </w:r>
      <w:r w:rsidRPr="00836605">
        <w:rPr>
          <w:rFonts w:asciiTheme="majorBidi" w:eastAsia="TimesNewRoman" w:hAnsiTheme="majorBidi" w:cstheme="majorBidi"/>
          <w:sz w:val="16"/>
          <w:szCs w:val="16"/>
          <w:lang w:val="tr-TR"/>
        </w:rPr>
        <w:t>Robin Gill, “Sociology Assessing Theology,” Robin Gill</w:t>
      </w:r>
      <w:r w:rsidRPr="00836605">
        <w:rPr>
          <w:rFonts w:asciiTheme="majorBidi" w:eastAsia="TimesNewRoman" w:hAnsiTheme="majorBidi" w:cstheme="majorBidi"/>
          <w:sz w:val="16"/>
          <w:szCs w:val="16"/>
          <w:lang w:eastAsia="tr-TR"/>
        </w:rPr>
        <w:t>, ed., Theology and Sociology: A Read</w:t>
      </w:r>
      <w:r>
        <w:rPr>
          <w:rFonts w:asciiTheme="majorBidi" w:eastAsia="TimesNewRoman" w:hAnsiTheme="majorBidi" w:cstheme="majorBidi"/>
          <w:sz w:val="16"/>
          <w:szCs w:val="16"/>
          <w:lang w:eastAsia="tr-TR"/>
        </w:rPr>
        <w:t xml:space="preserve">er. </w:t>
      </w:r>
      <w:proofErr w:type="gramStart"/>
      <w:r>
        <w:rPr>
          <w:rFonts w:asciiTheme="majorBidi" w:eastAsia="TimesNewRoman" w:hAnsiTheme="majorBidi" w:cstheme="majorBidi"/>
          <w:sz w:val="16"/>
          <w:szCs w:val="16"/>
          <w:lang w:eastAsia="tr-TR"/>
        </w:rPr>
        <w:t xml:space="preserve">(London: </w:t>
      </w:r>
      <w:proofErr w:type="spellStart"/>
      <w:r>
        <w:rPr>
          <w:rFonts w:asciiTheme="majorBidi" w:eastAsia="TimesNewRoman" w:hAnsiTheme="majorBidi" w:cstheme="majorBidi"/>
          <w:sz w:val="16"/>
          <w:szCs w:val="16"/>
          <w:lang w:eastAsia="tr-TR"/>
        </w:rPr>
        <w:t>Cassell</w:t>
      </w:r>
      <w:proofErr w:type="spellEnd"/>
      <w:r>
        <w:rPr>
          <w:rFonts w:asciiTheme="majorBidi" w:eastAsia="TimesNewRoman" w:hAnsiTheme="majorBidi" w:cstheme="majorBidi"/>
          <w:sz w:val="16"/>
          <w:szCs w:val="16"/>
          <w:lang w:eastAsia="tr-TR"/>
        </w:rPr>
        <w:t>, 1996), 148</w:t>
      </w:r>
      <w:r w:rsidRPr="00836605">
        <w:rPr>
          <w:rFonts w:asciiTheme="majorBidi" w:eastAsia="TimesNewRoman" w:hAnsiTheme="majorBidi" w:cstheme="majorBidi"/>
          <w:sz w:val="16"/>
          <w:szCs w:val="16"/>
          <w:lang w:eastAsia="tr-TR"/>
        </w:rPr>
        <w:t>.</w:t>
      </w:r>
      <w:proofErr w:type="gramEnd"/>
    </w:p>
  </w:footnote>
  <w:footnote w:id="30">
    <w:p w:rsidR="009F3B8E" w:rsidRPr="007E7A5E" w:rsidRDefault="009F3B8E" w:rsidP="009F3B8E">
      <w:pPr>
        <w:pStyle w:val="FootnoteText"/>
        <w:rPr>
          <w:lang w:val="en-US"/>
        </w:rPr>
      </w:pPr>
      <w:r>
        <w:rPr>
          <w:rStyle w:val="FootnoteReference"/>
        </w:rPr>
        <w:footnoteRef/>
      </w:r>
      <w:r>
        <w:t xml:space="preserve"> </w:t>
      </w:r>
      <w:r>
        <w:rPr>
          <w:rFonts w:ascii="Times New Roman" w:hAnsi="Times New Roman" w:cs="Times New Roman"/>
          <w:sz w:val="16"/>
          <w:szCs w:val="16"/>
        </w:rPr>
        <w:t>Karl Mannheim</w:t>
      </w:r>
      <w:r w:rsidRPr="00474976">
        <w:rPr>
          <w:rFonts w:ascii="Times New Roman" w:hAnsi="Times New Roman" w:cs="Times New Roman"/>
          <w:sz w:val="16"/>
          <w:szCs w:val="16"/>
        </w:rPr>
        <w:t xml:space="preserve">, </w:t>
      </w:r>
      <w:r>
        <w:rPr>
          <w:rFonts w:ascii="Times New Roman" w:hAnsi="Times New Roman" w:cs="Times New Roman"/>
          <w:sz w:val="16"/>
          <w:szCs w:val="16"/>
        </w:rPr>
        <w:t>Ideology and Utopia: An Introduction to the Sociology of K</w:t>
      </w:r>
      <w:r w:rsidRPr="007E7A5E">
        <w:rPr>
          <w:rFonts w:ascii="Times New Roman" w:hAnsi="Times New Roman" w:cs="Times New Roman"/>
          <w:sz w:val="16"/>
          <w:szCs w:val="16"/>
        </w:rPr>
        <w:t xml:space="preserve">nowledge </w:t>
      </w:r>
      <w:r w:rsidRPr="00474976">
        <w:rPr>
          <w:rFonts w:ascii="Times New Roman" w:hAnsi="Times New Roman" w:cs="Times New Roman"/>
          <w:sz w:val="16"/>
          <w:szCs w:val="16"/>
        </w:rPr>
        <w:t>(</w:t>
      </w:r>
      <w:proofErr w:type="gramStart"/>
      <w:r w:rsidRPr="007E7A5E">
        <w:rPr>
          <w:rFonts w:ascii="Times New Roman" w:hAnsi="Times New Roman" w:cs="Times New Roman"/>
          <w:sz w:val="16"/>
          <w:szCs w:val="16"/>
        </w:rPr>
        <w:t>London :</w:t>
      </w:r>
      <w:proofErr w:type="gramEnd"/>
      <w:r w:rsidRPr="007E7A5E">
        <w:rPr>
          <w:rFonts w:ascii="Times New Roman" w:hAnsi="Times New Roman" w:cs="Times New Roman"/>
          <w:sz w:val="16"/>
          <w:szCs w:val="16"/>
        </w:rPr>
        <w:t xml:space="preserve"> </w:t>
      </w:r>
      <w:proofErr w:type="spellStart"/>
      <w:r w:rsidRPr="007E7A5E">
        <w:rPr>
          <w:rFonts w:ascii="Times New Roman" w:hAnsi="Times New Roman" w:cs="Times New Roman"/>
          <w:sz w:val="16"/>
          <w:szCs w:val="16"/>
        </w:rPr>
        <w:t>Routledge</w:t>
      </w:r>
      <w:proofErr w:type="spellEnd"/>
      <w:r w:rsidRPr="007E7A5E">
        <w:rPr>
          <w:rFonts w:ascii="Times New Roman" w:hAnsi="Times New Roman" w:cs="Times New Roman"/>
          <w:sz w:val="16"/>
          <w:szCs w:val="16"/>
        </w:rPr>
        <w:t xml:space="preserve"> &amp; </w:t>
      </w:r>
      <w:proofErr w:type="spellStart"/>
      <w:r w:rsidRPr="007E7A5E">
        <w:rPr>
          <w:rFonts w:ascii="Times New Roman" w:hAnsi="Times New Roman" w:cs="Times New Roman"/>
          <w:sz w:val="16"/>
          <w:szCs w:val="16"/>
        </w:rPr>
        <w:t>Kegan</w:t>
      </w:r>
      <w:proofErr w:type="spellEnd"/>
      <w:r w:rsidRPr="007E7A5E">
        <w:rPr>
          <w:rFonts w:ascii="Times New Roman" w:hAnsi="Times New Roman" w:cs="Times New Roman"/>
          <w:sz w:val="16"/>
          <w:szCs w:val="16"/>
        </w:rPr>
        <w:t xml:space="preserve"> Paul</w:t>
      </w:r>
      <w:r>
        <w:rPr>
          <w:rFonts w:ascii="Times New Roman" w:hAnsi="Times New Roman" w:cs="Times New Roman"/>
          <w:sz w:val="16"/>
          <w:szCs w:val="16"/>
        </w:rPr>
        <w:t>, 1936), 238</w:t>
      </w:r>
      <w:r w:rsidRPr="00474976">
        <w:rPr>
          <w:rFonts w:ascii="Times New Roman" w:hAnsi="Times New Roman" w:cs="Times New Roman"/>
          <w:sz w:val="16"/>
          <w:szCs w:val="16"/>
        </w:rPr>
        <w:t>.</w:t>
      </w:r>
    </w:p>
  </w:footnote>
  <w:footnote w:id="31">
    <w:p w:rsidR="009F3B8E" w:rsidRPr="007E7A5E" w:rsidRDefault="009F3B8E" w:rsidP="009F3B8E">
      <w:pPr>
        <w:pStyle w:val="FootnoteText"/>
        <w:rPr>
          <w:lang w:val="en-US"/>
        </w:rPr>
      </w:pPr>
      <w:r>
        <w:rPr>
          <w:rStyle w:val="FootnoteReference"/>
        </w:rPr>
        <w:footnoteRef/>
      </w:r>
      <w:r>
        <w:t xml:space="preserve"> </w:t>
      </w:r>
      <w:r>
        <w:rPr>
          <w:rFonts w:ascii="Times New Roman" w:hAnsi="Times New Roman" w:cs="Times New Roman"/>
          <w:sz w:val="16"/>
          <w:szCs w:val="16"/>
        </w:rPr>
        <w:t xml:space="preserve">Eric </w:t>
      </w:r>
      <w:proofErr w:type="spellStart"/>
      <w:r>
        <w:rPr>
          <w:rFonts w:ascii="Times New Roman" w:hAnsi="Times New Roman" w:cs="Times New Roman"/>
          <w:sz w:val="16"/>
          <w:szCs w:val="16"/>
        </w:rPr>
        <w:t>Hobsbawm</w:t>
      </w:r>
      <w:proofErr w:type="spellEnd"/>
      <w:r>
        <w:rPr>
          <w:rFonts w:ascii="Times New Roman" w:hAnsi="Times New Roman" w:cs="Times New Roman"/>
          <w:sz w:val="16"/>
          <w:szCs w:val="16"/>
        </w:rPr>
        <w:t xml:space="preserve"> &amp; </w:t>
      </w:r>
      <w:r w:rsidRPr="007E7A5E">
        <w:rPr>
          <w:rFonts w:ascii="Times New Roman" w:hAnsi="Times New Roman" w:cs="Times New Roman"/>
          <w:sz w:val="16"/>
          <w:szCs w:val="16"/>
        </w:rPr>
        <w:t xml:space="preserve">Terence Ranger, The Invention of </w:t>
      </w:r>
      <w:r>
        <w:rPr>
          <w:rFonts w:ascii="Times New Roman" w:hAnsi="Times New Roman" w:cs="Times New Roman"/>
          <w:sz w:val="16"/>
          <w:szCs w:val="16"/>
        </w:rPr>
        <w:t>T</w:t>
      </w:r>
      <w:r w:rsidRPr="007E7A5E">
        <w:rPr>
          <w:rFonts w:ascii="Times New Roman" w:hAnsi="Times New Roman" w:cs="Times New Roman"/>
          <w:sz w:val="16"/>
          <w:szCs w:val="16"/>
        </w:rPr>
        <w:t xml:space="preserve">radition (Cambridge; New </w:t>
      </w:r>
      <w:proofErr w:type="gramStart"/>
      <w:r w:rsidRPr="007E7A5E">
        <w:rPr>
          <w:rFonts w:ascii="Times New Roman" w:hAnsi="Times New Roman" w:cs="Times New Roman"/>
          <w:sz w:val="16"/>
          <w:szCs w:val="16"/>
        </w:rPr>
        <w:t>York :</w:t>
      </w:r>
      <w:proofErr w:type="gramEnd"/>
      <w:r w:rsidRPr="007E7A5E">
        <w:rPr>
          <w:rFonts w:ascii="Times New Roman" w:hAnsi="Times New Roman" w:cs="Times New Roman"/>
          <w:sz w:val="16"/>
          <w:szCs w:val="16"/>
        </w:rPr>
        <w:t xml:space="preserve"> Cambridge University Press, 1983)</w:t>
      </w:r>
      <w:r>
        <w:rPr>
          <w:rFonts w:ascii="Times New Roman" w:hAnsi="Times New Roman" w:cs="Times New Roman"/>
          <w:sz w:val="16"/>
          <w:szCs w:val="16"/>
        </w:rPr>
        <w:t xml:space="preserve">. </w:t>
      </w:r>
    </w:p>
  </w:footnote>
  <w:footnote w:id="32">
    <w:p w:rsidR="009F3B8E" w:rsidRPr="008555CF" w:rsidRDefault="009F3B8E" w:rsidP="009F3B8E">
      <w:pPr>
        <w:pStyle w:val="FootnoteText"/>
        <w:rPr>
          <w:rFonts w:ascii="Times New Roman" w:hAnsi="Times New Roman" w:cs="Times New Roman"/>
          <w:sz w:val="16"/>
          <w:szCs w:val="16"/>
          <w:lang w:val="en-US"/>
        </w:rPr>
      </w:pPr>
      <w:r w:rsidRPr="008555CF">
        <w:rPr>
          <w:rStyle w:val="FootnoteReference"/>
          <w:rFonts w:ascii="Times New Roman" w:hAnsi="Times New Roman" w:cs="Times New Roman"/>
          <w:sz w:val="16"/>
          <w:szCs w:val="16"/>
        </w:rPr>
        <w:footnoteRef/>
      </w:r>
      <w:r w:rsidRPr="008555CF">
        <w:rPr>
          <w:rFonts w:ascii="Times New Roman" w:hAnsi="Times New Roman" w:cs="Times New Roman"/>
          <w:sz w:val="16"/>
          <w:szCs w:val="16"/>
        </w:rPr>
        <w:t xml:space="preserve"> </w:t>
      </w:r>
      <w:proofErr w:type="spellStart"/>
      <w:r w:rsidRPr="008555CF">
        <w:rPr>
          <w:rFonts w:ascii="Times New Roman" w:hAnsi="Times New Roman" w:cs="Times New Roman"/>
          <w:sz w:val="16"/>
          <w:szCs w:val="16"/>
        </w:rPr>
        <w:t>Mariz</w:t>
      </w:r>
      <w:proofErr w:type="spellEnd"/>
      <w:r w:rsidRPr="008555CF">
        <w:rPr>
          <w:rFonts w:ascii="Times New Roman" w:hAnsi="Times New Roman" w:cs="Times New Roman"/>
          <w:sz w:val="16"/>
          <w:szCs w:val="16"/>
        </w:rPr>
        <w:t xml:space="preserve"> </w:t>
      </w:r>
      <w:proofErr w:type="spellStart"/>
      <w:r w:rsidRPr="008555CF">
        <w:rPr>
          <w:rFonts w:ascii="Times New Roman" w:hAnsi="Times New Roman" w:cs="Times New Roman"/>
          <w:sz w:val="16"/>
          <w:szCs w:val="16"/>
        </w:rPr>
        <w:t>Tadros</w:t>
      </w:r>
      <w:proofErr w:type="spellEnd"/>
      <w:r w:rsidRPr="008555CF">
        <w:rPr>
          <w:rFonts w:ascii="Times New Roman" w:hAnsi="Times New Roman" w:cs="Times New Roman"/>
          <w:sz w:val="16"/>
          <w:szCs w:val="16"/>
        </w:rPr>
        <w:t xml:space="preserve">, “Egypt: The </w:t>
      </w:r>
      <w:proofErr w:type="spellStart"/>
      <w:r w:rsidRPr="008555CF">
        <w:rPr>
          <w:rFonts w:ascii="Times New Roman" w:hAnsi="Times New Roman" w:cs="Times New Roman"/>
          <w:sz w:val="16"/>
          <w:szCs w:val="16"/>
        </w:rPr>
        <w:t>Islamization</w:t>
      </w:r>
      <w:proofErr w:type="spellEnd"/>
      <w:r w:rsidRPr="008555CF">
        <w:rPr>
          <w:rFonts w:ascii="Times New Roman" w:hAnsi="Times New Roman" w:cs="Times New Roman"/>
          <w:sz w:val="16"/>
          <w:szCs w:val="16"/>
        </w:rPr>
        <w:t xml:space="preserve"> of State </w:t>
      </w:r>
      <w:proofErr w:type="spellStart"/>
      <w:r w:rsidRPr="008555CF">
        <w:rPr>
          <w:rFonts w:ascii="Times New Roman" w:hAnsi="Times New Roman" w:cs="Times New Roman"/>
          <w:sz w:val="16"/>
          <w:szCs w:val="16"/>
        </w:rPr>
        <w:t>Policy,”</w:t>
      </w:r>
      <w:r w:rsidRPr="008555CF">
        <w:rPr>
          <w:rFonts w:ascii="Times New Roman" w:hAnsi="Times New Roman" w:cs="Times New Roman"/>
          <w:i/>
          <w:sz w:val="16"/>
          <w:szCs w:val="16"/>
        </w:rPr>
        <w:t>Open</w:t>
      </w:r>
      <w:proofErr w:type="spellEnd"/>
      <w:r w:rsidRPr="008555CF">
        <w:rPr>
          <w:rFonts w:ascii="Times New Roman" w:hAnsi="Times New Roman" w:cs="Times New Roman"/>
          <w:i/>
          <w:sz w:val="16"/>
          <w:szCs w:val="16"/>
        </w:rPr>
        <w:t xml:space="preserve"> Democracy</w:t>
      </w:r>
      <w:r w:rsidRPr="008555CF">
        <w:rPr>
          <w:rFonts w:ascii="Times New Roman" w:hAnsi="Times New Roman" w:cs="Times New Roman"/>
          <w:sz w:val="16"/>
          <w:szCs w:val="16"/>
        </w:rPr>
        <w:t xml:space="preserve">, 8 January 2013,  </w:t>
      </w:r>
      <w:hyperlink r:id="rId9" w:history="1">
        <w:r w:rsidRPr="008555CF">
          <w:rPr>
            <w:rStyle w:val="Hyperlink"/>
            <w:rFonts w:ascii="Times New Roman" w:hAnsi="Times New Roman" w:cs="Times New Roman"/>
            <w:sz w:val="16"/>
            <w:szCs w:val="16"/>
          </w:rPr>
          <w:t>http://www.opendemocracy.net/5050/mariz-tadros/egypt-islamization-of-state-policy</w:t>
        </w:r>
      </w:hyperlink>
      <w:r w:rsidRPr="008555CF">
        <w:rPr>
          <w:rFonts w:ascii="Times New Roman" w:hAnsi="Times New Roman" w:cs="Times New Roman"/>
          <w:sz w:val="16"/>
          <w:szCs w:val="16"/>
        </w:rPr>
        <w:t xml:space="preserve"> </w:t>
      </w:r>
    </w:p>
  </w:footnote>
  <w:footnote w:id="33">
    <w:p w:rsidR="009F3B8E" w:rsidRPr="008555CF" w:rsidRDefault="009F3B8E" w:rsidP="009F3B8E">
      <w:pPr>
        <w:pStyle w:val="FootnoteText"/>
        <w:rPr>
          <w:lang w:val="en-US"/>
        </w:rPr>
      </w:pPr>
      <w:r w:rsidRPr="008555CF">
        <w:rPr>
          <w:rStyle w:val="FootnoteReference"/>
        </w:rPr>
        <w:footnoteRef/>
      </w:r>
      <w:r w:rsidRPr="008555CF">
        <w:t xml:space="preserve"> </w:t>
      </w:r>
      <w:r w:rsidRPr="008555CF">
        <w:rPr>
          <w:rFonts w:ascii="Times New Roman" w:hAnsi="Times New Roman" w:cs="Times New Roman"/>
          <w:sz w:val="16"/>
          <w:szCs w:val="16"/>
        </w:rPr>
        <w:t>I</w:t>
      </w:r>
      <w:r>
        <w:rPr>
          <w:rFonts w:ascii="Times New Roman" w:hAnsi="Times New Roman" w:cs="Times New Roman"/>
          <w:sz w:val="16"/>
          <w:szCs w:val="16"/>
        </w:rPr>
        <w:t>bid</w:t>
      </w:r>
    </w:p>
  </w:footnote>
  <w:footnote w:id="34">
    <w:p w:rsidR="009F3B8E" w:rsidRPr="008555CF" w:rsidRDefault="009F3B8E" w:rsidP="009F3B8E">
      <w:pPr>
        <w:pStyle w:val="FootnoteText"/>
        <w:rPr>
          <w:lang w:val="en-US"/>
        </w:rPr>
      </w:pPr>
      <w:r w:rsidRPr="008555CF">
        <w:rPr>
          <w:rStyle w:val="FootnoteReference"/>
        </w:rPr>
        <w:footnoteRef/>
      </w:r>
      <w:r w:rsidRPr="008555CF">
        <w:t xml:space="preserve"> </w:t>
      </w:r>
      <w:r w:rsidRPr="008555CF">
        <w:rPr>
          <w:rFonts w:ascii="Times New Roman" w:hAnsi="Times New Roman" w:cs="Times New Roman"/>
          <w:sz w:val="16"/>
          <w:szCs w:val="16"/>
        </w:rPr>
        <w:t>Karl Mannheim, Ideology and Utopia: An Introduction to the Sociology of Knowledge (</w:t>
      </w:r>
      <w:proofErr w:type="gramStart"/>
      <w:r w:rsidRPr="008555CF">
        <w:rPr>
          <w:rFonts w:ascii="Times New Roman" w:hAnsi="Times New Roman" w:cs="Times New Roman"/>
          <w:sz w:val="16"/>
          <w:szCs w:val="16"/>
        </w:rPr>
        <w:t>London :</w:t>
      </w:r>
      <w:proofErr w:type="gramEnd"/>
      <w:r w:rsidRPr="008555CF">
        <w:rPr>
          <w:rFonts w:ascii="Times New Roman" w:hAnsi="Times New Roman" w:cs="Times New Roman"/>
          <w:sz w:val="16"/>
          <w:szCs w:val="16"/>
        </w:rPr>
        <w:t xml:space="preserve"> </w:t>
      </w:r>
      <w:proofErr w:type="spellStart"/>
      <w:r w:rsidRPr="008555CF">
        <w:rPr>
          <w:rFonts w:ascii="Times New Roman" w:hAnsi="Times New Roman" w:cs="Times New Roman"/>
          <w:sz w:val="16"/>
          <w:szCs w:val="16"/>
        </w:rPr>
        <w:t>Routledge</w:t>
      </w:r>
      <w:proofErr w:type="spellEnd"/>
      <w:r w:rsidRPr="008555CF">
        <w:rPr>
          <w:rFonts w:ascii="Times New Roman" w:hAnsi="Times New Roman" w:cs="Times New Roman"/>
          <w:sz w:val="16"/>
          <w:szCs w:val="16"/>
        </w:rPr>
        <w:t xml:space="preserve"> &amp; </w:t>
      </w:r>
      <w:proofErr w:type="spellStart"/>
      <w:r w:rsidRPr="008555CF">
        <w:rPr>
          <w:rFonts w:ascii="Times New Roman" w:hAnsi="Times New Roman" w:cs="Times New Roman"/>
          <w:sz w:val="16"/>
          <w:szCs w:val="16"/>
        </w:rPr>
        <w:t>Kegan</w:t>
      </w:r>
      <w:proofErr w:type="spellEnd"/>
      <w:r w:rsidRPr="008555CF">
        <w:rPr>
          <w:rFonts w:ascii="Times New Roman" w:hAnsi="Times New Roman" w:cs="Times New Roman"/>
          <w:sz w:val="16"/>
          <w:szCs w:val="16"/>
        </w:rPr>
        <w:t xml:space="preserve"> Paul, 1936), 238.</w:t>
      </w:r>
    </w:p>
  </w:footnote>
  <w:footnote w:id="35">
    <w:p w:rsidR="009F3B8E" w:rsidRDefault="009F3B8E" w:rsidP="009F3B8E">
      <w:pPr>
        <w:pStyle w:val="FootnoteText"/>
      </w:pPr>
      <w:r>
        <w:rPr>
          <w:rStyle w:val="FootnoteReference"/>
        </w:rPr>
        <w:footnoteRef/>
      </w:r>
      <w:r>
        <w:t xml:space="preserve"> </w:t>
      </w:r>
      <w:r w:rsidRPr="00FE7C2A">
        <w:rPr>
          <w:rFonts w:asciiTheme="majorBidi" w:eastAsia="TimesNewRoman" w:hAnsiTheme="majorBidi" w:cstheme="majorBidi"/>
          <w:sz w:val="16"/>
          <w:szCs w:val="16"/>
          <w:lang w:val="tr-TR"/>
        </w:rPr>
        <w:t>Robin Gill, “Sociology Assessing Theology,” Robin Gill</w:t>
      </w:r>
      <w:r w:rsidRPr="00FE7C2A">
        <w:rPr>
          <w:rFonts w:asciiTheme="majorBidi" w:eastAsia="TimesNewRoman" w:hAnsiTheme="majorBidi" w:cstheme="majorBidi"/>
          <w:sz w:val="16"/>
          <w:szCs w:val="16"/>
          <w:lang w:eastAsia="tr-TR"/>
        </w:rPr>
        <w:t xml:space="preserve">, ed., Theology and Sociology: A Reader. </w:t>
      </w:r>
      <w:proofErr w:type="gramStart"/>
      <w:r w:rsidRPr="00FE7C2A">
        <w:rPr>
          <w:rFonts w:asciiTheme="majorBidi" w:eastAsia="TimesNewRoman" w:hAnsiTheme="majorBidi" w:cstheme="majorBidi"/>
          <w:sz w:val="16"/>
          <w:szCs w:val="16"/>
          <w:lang w:eastAsia="tr-TR"/>
        </w:rPr>
        <w:t xml:space="preserve">(London: </w:t>
      </w:r>
      <w:proofErr w:type="spellStart"/>
      <w:r w:rsidRPr="00FE7C2A">
        <w:rPr>
          <w:rFonts w:asciiTheme="majorBidi" w:eastAsia="TimesNewRoman" w:hAnsiTheme="majorBidi" w:cstheme="majorBidi"/>
          <w:sz w:val="16"/>
          <w:szCs w:val="16"/>
          <w:lang w:eastAsia="tr-TR"/>
        </w:rPr>
        <w:t>Cassell</w:t>
      </w:r>
      <w:proofErr w:type="spellEnd"/>
      <w:r w:rsidRPr="00FE7C2A">
        <w:rPr>
          <w:rFonts w:asciiTheme="majorBidi" w:eastAsia="TimesNewRoman" w:hAnsiTheme="majorBidi" w:cstheme="majorBidi"/>
          <w:sz w:val="16"/>
          <w:szCs w:val="16"/>
          <w:lang w:eastAsia="tr-TR"/>
        </w:rPr>
        <w:t xml:space="preserve">, 1996), </w:t>
      </w:r>
      <w:r>
        <w:rPr>
          <w:rFonts w:asciiTheme="majorBidi" w:eastAsia="TimesNewRoman" w:hAnsiTheme="majorBidi" w:cstheme="majorBidi"/>
          <w:sz w:val="16"/>
          <w:szCs w:val="16"/>
          <w:lang w:eastAsia="tr-TR"/>
        </w:rPr>
        <w:t>148</w:t>
      </w:r>
      <w:r w:rsidRPr="00FE7C2A">
        <w:rPr>
          <w:rFonts w:asciiTheme="majorBidi" w:eastAsia="TimesNewRoman" w:hAnsiTheme="majorBidi" w:cstheme="majorBidi"/>
          <w:sz w:val="16"/>
          <w:szCs w:val="16"/>
          <w:lang w:eastAsia="tr-TR"/>
        </w:rPr>
        <w:t>.</w:t>
      </w:r>
      <w:proofErr w:type="gramEnd"/>
    </w:p>
  </w:footnote>
  <w:footnote w:id="36">
    <w:p w:rsidR="009F3B8E" w:rsidRDefault="009F3B8E" w:rsidP="009F3B8E">
      <w:pPr>
        <w:pStyle w:val="FootnoteText"/>
      </w:pPr>
      <w:r>
        <w:rPr>
          <w:rStyle w:val="FootnoteReference"/>
        </w:rPr>
        <w:footnoteRef/>
      </w:r>
      <w:r>
        <w:t xml:space="preserve"> </w:t>
      </w:r>
      <w:proofErr w:type="spellStart"/>
      <w:proofErr w:type="gramStart"/>
      <w:r>
        <w:rPr>
          <w:rFonts w:ascii="Times New Roman" w:hAnsi="Times New Roman" w:cs="Times New Roman"/>
          <w:sz w:val="16"/>
          <w:szCs w:val="16"/>
        </w:rPr>
        <w:t>Fazlur</w:t>
      </w:r>
      <w:proofErr w:type="spellEnd"/>
      <w:r>
        <w:rPr>
          <w:rFonts w:ascii="Times New Roman" w:hAnsi="Times New Roman" w:cs="Times New Roman"/>
          <w:sz w:val="16"/>
          <w:szCs w:val="16"/>
        </w:rPr>
        <w:t xml:space="preserve"> Rahman</w:t>
      </w:r>
      <w:r w:rsidRPr="00836605">
        <w:rPr>
          <w:rFonts w:ascii="Times New Roman" w:hAnsi="Times New Roman" w:cs="Times New Roman"/>
          <w:sz w:val="16"/>
          <w:szCs w:val="16"/>
        </w:rPr>
        <w:t>, “</w:t>
      </w:r>
      <w:r>
        <w:rPr>
          <w:rFonts w:ascii="Times New Roman" w:hAnsi="Times New Roman" w:cs="Times New Roman"/>
          <w:sz w:val="16"/>
          <w:szCs w:val="16"/>
        </w:rPr>
        <w:t>Islam and Social Justice</w:t>
      </w:r>
      <w:r w:rsidRPr="00836605">
        <w:rPr>
          <w:rFonts w:ascii="Times New Roman" w:hAnsi="Times New Roman" w:cs="Times New Roman"/>
          <w:sz w:val="16"/>
          <w:szCs w:val="16"/>
        </w:rPr>
        <w:t xml:space="preserve">,” </w:t>
      </w:r>
      <w:r>
        <w:rPr>
          <w:rFonts w:ascii="Times New Roman" w:hAnsi="Times New Roman" w:cs="Times New Roman"/>
          <w:i/>
          <w:sz w:val="16"/>
          <w:szCs w:val="16"/>
        </w:rPr>
        <w:t>Pakistan Forum</w:t>
      </w:r>
      <w:r>
        <w:rPr>
          <w:rFonts w:ascii="Times New Roman" w:hAnsi="Times New Roman" w:cs="Times New Roman"/>
          <w:sz w:val="16"/>
          <w:szCs w:val="16"/>
        </w:rPr>
        <w:t>, 1, 1970</w:t>
      </w:r>
      <w:r w:rsidRPr="00836605">
        <w:rPr>
          <w:rFonts w:ascii="Times New Roman" w:hAnsi="Times New Roman" w:cs="Times New Roman"/>
          <w:sz w:val="16"/>
          <w:szCs w:val="16"/>
        </w:rPr>
        <w:t xml:space="preserve">, </w:t>
      </w:r>
      <w:r>
        <w:rPr>
          <w:rFonts w:ascii="Times New Roman" w:hAnsi="Times New Roman" w:cs="Times New Roman"/>
          <w:sz w:val="16"/>
          <w:szCs w:val="16"/>
        </w:rPr>
        <w:t>4</w:t>
      </w:r>
      <w:r w:rsidRPr="00836605">
        <w:rPr>
          <w:rFonts w:ascii="Times New Roman" w:hAnsi="Times New Roman" w:cs="Times New Roman"/>
          <w:sz w:val="16"/>
          <w:szCs w:val="16"/>
        </w:rPr>
        <w:t>.</w:t>
      </w:r>
      <w:proofErr w:type="gramEnd"/>
    </w:p>
  </w:footnote>
  <w:footnote w:id="37">
    <w:p w:rsidR="009F3B8E" w:rsidRPr="00BC0CA2" w:rsidRDefault="009F3B8E" w:rsidP="009F3B8E">
      <w:pPr>
        <w:pStyle w:val="FootnoteText"/>
        <w:rPr>
          <w:rFonts w:ascii="Times New Roman" w:hAnsi="Times New Roman" w:cs="Times New Roman"/>
          <w:sz w:val="16"/>
          <w:szCs w:val="16"/>
        </w:rPr>
      </w:pPr>
      <w:r w:rsidRPr="000D1E01">
        <w:rPr>
          <w:rStyle w:val="FootnoteReference"/>
          <w:rFonts w:ascii="Times New Roman" w:hAnsi="Times New Roman" w:cs="Times New Roman"/>
          <w:sz w:val="16"/>
          <w:szCs w:val="16"/>
        </w:rPr>
        <w:footnoteRef/>
      </w:r>
      <w:r w:rsidRPr="000D1E01">
        <w:rPr>
          <w:rFonts w:ascii="Times New Roman" w:hAnsi="Times New Roman" w:cs="Times New Roman"/>
          <w:sz w:val="16"/>
          <w:szCs w:val="16"/>
        </w:rPr>
        <w:t xml:space="preserve"> </w:t>
      </w:r>
      <w:proofErr w:type="spellStart"/>
      <w:r w:rsidRPr="000D1E01">
        <w:rPr>
          <w:rFonts w:ascii="Times New Roman" w:hAnsi="Times New Roman" w:cs="Times New Roman"/>
          <w:sz w:val="16"/>
          <w:szCs w:val="16"/>
        </w:rPr>
        <w:t>Kuntowijaya</w:t>
      </w:r>
      <w:proofErr w:type="spellEnd"/>
      <w:r w:rsidRPr="000D1E01">
        <w:rPr>
          <w:rFonts w:ascii="Times New Roman" w:hAnsi="Times New Roman" w:cs="Times New Roman"/>
          <w:sz w:val="16"/>
          <w:szCs w:val="16"/>
        </w:rPr>
        <w:t xml:space="preserve"> cited in </w:t>
      </w:r>
      <w:proofErr w:type="spellStart"/>
      <w:r w:rsidRPr="000D1E01">
        <w:rPr>
          <w:rFonts w:ascii="Times New Roman" w:hAnsi="Times New Roman" w:cs="Times New Roman"/>
          <w:sz w:val="16"/>
          <w:szCs w:val="16"/>
        </w:rPr>
        <w:t>Fauzan</w:t>
      </w:r>
      <w:proofErr w:type="spellEnd"/>
      <w:r w:rsidRPr="000D1E01">
        <w:rPr>
          <w:rFonts w:ascii="Times New Roman" w:hAnsi="Times New Roman" w:cs="Times New Roman"/>
          <w:sz w:val="16"/>
          <w:szCs w:val="16"/>
        </w:rPr>
        <w:t xml:space="preserve"> </w:t>
      </w:r>
      <w:proofErr w:type="spellStart"/>
      <w:r w:rsidRPr="000D1E01">
        <w:rPr>
          <w:rFonts w:ascii="Times New Roman" w:hAnsi="Times New Roman" w:cs="Times New Roman"/>
          <w:sz w:val="16"/>
          <w:szCs w:val="16"/>
        </w:rPr>
        <w:t>Salleh</w:t>
      </w:r>
      <w:proofErr w:type="spellEnd"/>
      <w:r w:rsidRPr="000D1E01">
        <w:rPr>
          <w:rFonts w:ascii="Times New Roman" w:hAnsi="Times New Roman" w:cs="Times New Roman"/>
          <w:sz w:val="16"/>
          <w:szCs w:val="16"/>
        </w:rPr>
        <w:t>, Modern</w:t>
      </w:r>
      <w:r>
        <w:rPr>
          <w:rFonts w:ascii="Times New Roman" w:hAnsi="Times New Roman" w:cs="Times New Roman"/>
          <w:sz w:val="16"/>
          <w:szCs w:val="16"/>
        </w:rPr>
        <w:t xml:space="preserve"> Trends in Islamic Theological D</w:t>
      </w:r>
      <w:r w:rsidRPr="000D1E01">
        <w:rPr>
          <w:rFonts w:ascii="Times New Roman" w:hAnsi="Times New Roman" w:cs="Times New Roman"/>
          <w:sz w:val="16"/>
          <w:szCs w:val="16"/>
        </w:rPr>
        <w:t>isc</w:t>
      </w:r>
      <w:r>
        <w:rPr>
          <w:rFonts w:ascii="Times New Roman" w:hAnsi="Times New Roman" w:cs="Times New Roman"/>
          <w:sz w:val="16"/>
          <w:szCs w:val="16"/>
        </w:rPr>
        <w:t xml:space="preserve">ourse in 20th Century Indonesia (Leiden; Boston: Brill, 2001), 183. </w:t>
      </w:r>
    </w:p>
    <w:p w:rsidR="009F3B8E" w:rsidRPr="000D1E01" w:rsidRDefault="009F3B8E" w:rsidP="009F3B8E">
      <w:pPr>
        <w:pStyle w:val="FootnoteText"/>
        <w:rPr>
          <w:rFonts w:ascii="Times New Roman" w:hAnsi="Times New Roman" w:cs="Times New Roman"/>
          <w:sz w:val="16"/>
          <w:szCs w:val="16"/>
        </w:rPr>
      </w:pPr>
    </w:p>
  </w:footnote>
  <w:footnote w:id="38">
    <w:p w:rsidR="007146D5" w:rsidRPr="007146D5" w:rsidRDefault="007146D5">
      <w:pPr>
        <w:pStyle w:val="FootnoteText"/>
        <w:rPr>
          <w:lang w:val="en-US"/>
        </w:rPr>
      </w:pPr>
      <w:r>
        <w:rPr>
          <w:rStyle w:val="FootnoteReference"/>
        </w:rPr>
        <w:footnoteRef/>
      </w:r>
      <w:r>
        <w:t xml:space="preserve"> </w:t>
      </w:r>
      <w:r w:rsidR="00672D28">
        <w:rPr>
          <w:rFonts w:ascii="Times New Roman" w:hAnsi="Times New Roman" w:cs="Times New Roman"/>
          <w:sz w:val="16"/>
          <w:szCs w:val="16"/>
        </w:rPr>
        <w:t xml:space="preserve">Cited in </w:t>
      </w:r>
      <w:proofErr w:type="spellStart"/>
      <w:r w:rsidR="00672D28">
        <w:rPr>
          <w:rFonts w:ascii="Times New Roman" w:hAnsi="Times New Roman" w:cs="Times New Roman"/>
          <w:sz w:val="16"/>
          <w:szCs w:val="16"/>
        </w:rPr>
        <w:t>S</w:t>
      </w:r>
      <w:r w:rsidRPr="007E7A5E">
        <w:rPr>
          <w:rFonts w:ascii="Times New Roman" w:hAnsi="Times New Roman" w:cs="Times New Roman"/>
          <w:sz w:val="16"/>
          <w:szCs w:val="16"/>
        </w:rPr>
        <w:t>ukran</w:t>
      </w:r>
      <w:proofErr w:type="spellEnd"/>
      <w:r w:rsidRPr="007E7A5E">
        <w:rPr>
          <w:rFonts w:ascii="Times New Roman" w:hAnsi="Times New Roman" w:cs="Times New Roman"/>
          <w:sz w:val="16"/>
          <w:szCs w:val="16"/>
        </w:rPr>
        <w:t xml:space="preserve"> </w:t>
      </w:r>
      <w:proofErr w:type="spellStart"/>
      <w:r w:rsidRPr="007E7A5E">
        <w:rPr>
          <w:rFonts w:ascii="Times New Roman" w:hAnsi="Times New Roman" w:cs="Times New Roman"/>
          <w:sz w:val="16"/>
          <w:szCs w:val="16"/>
        </w:rPr>
        <w:t>Vahide</w:t>
      </w:r>
      <w:proofErr w:type="spellEnd"/>
      <w:r w:rsidRPr="007E7A5E">
        <w:rPr>
          <w:rFonts w:ascii="Times New Roman" w:hAnsi="Times New Roman" w:cs="Times New Roman"/>
          <w:sz w:val="16"/>
          <w:szCs w:val="16"/>
        </w:rPr>
        <w:t xml:space="preserve">, Islam in Modern Turkey: An Intellectual Biography of </w:t>
      </w:r>
      <w:proofErr w:type="spellStart"/>
      <w:r w:rsidRPr="007E7A5E">
        <w:rPr>
          <w:rFonts w:ascii="Times New Roman" w:hAnsi="Times New Roman" w:cs="Times New Roman"/>
          <w:sz w:val="16"/>
          <w:szCs w:val="16"/>
        </w:rPr>
        <w:t>Bediuzzaman</w:t>
      </w:r>
      <w:proofErr w:type="spellEnd"/>
      <w:r w:rsidRPr="007E7A5E">
        <w:rPr>
          <w:rFonts w:ascii="Times New Roman" w:hAnsi="Times New Roman" w:cs="Times New Roman"/>
          <w:sz w:val="16"/>
          <w:szCs w:val="16"/>
        </w:rPr>
        <w:t xml:space="preserve"> Said </w:t>
      </w:r>
      <w:proofErr w:type="spellStart"/>
      <w:r w:rsidRPr="007E7A5E">
        <w:rPr>
          <w:rFonts w:ascii="Times New Roman" w:hAnsi="Times New Roman" w:cs="Times New Roman"/>
          <w:sz w:val="16"/>
          <w:szCs w:val="16"/>
        </w:rPr>
        <w:t>Nursi</w:t>
      </w:r>
      <w:proofErr w:type="spellEnd"/>
      <w:r w:rsidRPr="007E7A5E">
        <w:rPr>
          <w:rFonts w:ascii="Times New Roman" w:hAnsi="Times New Roman" w:cs="Times New Roman"/>
          <w:sz w:val="16"/>
          <w:szCs w:val="16"/>
        </w:rPr>
        <w:t xml:space="preserve"> (New York: State Univers</w:t>
      </w:r>
      <w:r>
        <w:rPr>
          <w:rFonts w:ascii="Times New Roman" w:hAnsi="Times New Roman" w:cs="Times New Roman"/>
          <w:sz w:val="16"/>
          <w:szCs w:val="16"/>
        </w:rPr>
        <w:t>ity of New York Press, 2005), 160</w:t>
      </w:r>
      <w:r w:rsidRPr="007E7A5E">
        <w:rPr>
          <w:rFonts w:ascii="Times New Roman" w:hAnsi="Times New Roman" w:cs="Times New Roman"/>
          <w:sz w:val="16"/>
          <w:szCs w:val="16"/>
        </w:rPr>
        <w:t>.</w:t>
      </w:r>
    </w:p>
  </w:footnote>
  <w:footnote w:id="39">
    <w:p w:rsidR="009F3B8E" w:rsidRPr="00D12169" w:rsidRDefault="009F3B8E" w:rsidP="009F3B8E">
      <w:pPr>
        <w:autoSpaceDE w:val="0"/>
        <w:autoSpaceDN w:val="0"/>
        <w:adjustRightInd w:val="0"/>
        <w:spacing w:after="0" w:line="240" w:lineRule="auto"/>
        <w:rPr>
          <w:rFonts w:ascii="Times New Roman" w:hAnsi="Times New Roman" w:cs="Times New Roman"/>
          <w:bCs/>
          <w:sz w:val="16"/>
          <w:szCs w:val="16"/>
        </w:rPr>
      </w:pPr>
      <w:r w:rsidRPr="00D12169">
        <w:rPr>
          <w:rStyle w:val="FootnoteReference"/>
          <w:rFonts w:ascii="Times New Roman" w:hAnsi="Times New Roman" w:cs="Times New Roman"/>
          <w:sz w:val="16"/>
          <w:szCs w:val="16"/>
        </w:rPr>
        <w:footnoteRef/>
      </w:r>
      <w:r w:rsidRPr="00D12169">
        <w:rPr>
          <w:rFonts w:ascii="Times New Roman" w:hAnsi="Times New Roman" w:cs="Times New Roman"/>
          <w:sz w:val="16"/>
          <w:szCs w:val="16"/>
        </w:rPr>
        <w:t xml:space="preserve"> </w:t>
      </w:r>
      <w:proofErr w:type="spellStart"/>
      <w:proofErr w:type="gramStart"/>
      <w:r w:rsidRPr="00D12169">
        <w:rPr>
          <w:rFonts w:ascii="Times New Roman" w:hAnsi="Times New Roman" w:cs="Times New Roman"/>
          <w:sz w:val="16"/>
          <w:szCs w:val="16"/>
        </w:rPr>
        <w:t>Asghar</w:t>
      </w:r>
      <w:proofErr w:type="spellEnd"/>
      <w:r w:rsidRPr="00D12169">
        <w:rPr>
          <w:rFonts w:ascii="Times New Roman" w:hAnsi="Times New Roman" w:cs="Times New Roman"/>
          <w:sz w:val="16"/>
          <w:szCs w:val="16"/>
        </w:rPr>
        <w:t xml:space="preserve"> Ali Engineer, “</w:t>
      </w:r>
      <w:r w:rsidRPr="00D12169">
        <w:rPr>
          <w:rFonts w:ascii="Times New Roman" w:hAnsi="Times New Roman" w:cs="Times New Roman"/>
          <w:bCs/>
          <w:sz w:val="16"/>
          <w:szCs w:val="16"/>
        </w:rPr>
        <w:t xml:space="preserve">Is Progressive Islam Possible,” </w:t>
      </w:r>
      <w:hyperlink r:id="rId10" w:history="1">
        <w:r w:rsidRPr="00D12169">
          <w:rPr>
            <w:rStyle w:val="Hyperlink"/>
            <w:rFonts w:ascii="Times New Roman" w:hAnsi="Times New Roman" w:cs="Times New Roman"/>
            <w:sz w:val="16"/>
            <w:szCs w:val="16"/>
          </w:rPr>
          <w:t>http://www.csss-isla.com/iis-archive41.htm</w:t>
        </w:r>
      </w:hyperlink>
      <w:r w:rsidRPr="00D12169">
        <w:rPr>
          <w:rFonts w:ascii="Times New Roman" w:hAnsi="Times New Roman" w:cs="Times New Roman"/>
          <w:sz w:val="16"/>
          <w:szCs w:val="16"/>
        </w:rPr>
        <w:t>.</w:t>
      </w:r>
      <w:proofErr w:type="gramEnd"/>
      <w:r w:rsidRPr="00D12169">
        <w:rPr>
          <w:rFonts w:ascii="Times New Roman" w:hAnsi="Times New Roman" w:cs="Times New Roman"/>
          <w:sz w:val="16"/>
          <w:szCs w:val="16"/>
        </w:rP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3B8E"/>
    <w:rsid w:val="00320F00"/>
    <w:rsid w:val="00591CAE"/>
    <w:rsid w:val="00672D28"/>
    <w:rsid w:val="007146D5"/>
    <w:rsid w:val="00723BF8"/>
    <w:rsid w:val="009F3B8E"/>
    <w:rsid w:val="00C8232A"/>
    <w:rsid w:val="00EE4DBC"/>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S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3B8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9F3B8E"/>
    <w:pPr>
      <w:spacing w:after="0" w:line="240" w:lineRule="auto"/>
    </w:pPr>
    <w:rPr>
      <w:sz w:val="20"/>
      <w:szCs w:val="20"/>
    </w:rPr>
  </w:style>
  <w:style w:type="character" w:customStyle="1" w:styleId="FootnoteTextChar">
    <w:name w:val="Footnote Text Char"/>
    <w:basedOn w:val="DefaultParagraphFont"/>
    <w:link w:val="FootnoteText"/>
    <w:uiPriority w:val="99"/>
    <w:rsid w:val="009F3B8E"/>
    <w:rPr>
      <w:sz w:val="20"/>
      <w:szCs w:val="20"/>
    </w:rPr>
  </w:style>
  <w:style w:type="character" w:styleId="FootnoteReference">
    <w:name w:val="footnote reference"/>
    <w:basedOn w:val="DefaultParagraphFont"/>
    <w:uiPriority w:val="99"/>
    <w:unhideWhenUsed/>
    <w:rsid w:val="009F3B8E"/>
    <w:rPr>
      <w:vertAlign w:val="superscript"/>
    </w:rPr>
  </w:style>
  <w:style w:type="character" w:customStyle="1" w:styleId="highlight">
    <w:name w:val="highlight"/>
    <w:basedOn w:val="DefaultParagraphFont"/>
    <w:rsid w:val="009F3B8E"/>
  </w:style>
  <w:style w:type="character" w:styleId="Hyperlink">
    <w:name w:val="Hyperlink"/>
    <w:basedOn w:val="DefaultParagraphFont"/>
    <w:uiPriority w:val="99"/>
    <w:unhideWhenUsed/>
    <w:rsid w:val="009F3B8E"/>
    <w:rPr>
      <w:color w:val="0000FF" w:themeColor="hyperlink"/>
      <w:u w:val="single"/>
    </w:rPr>
  </w:style>
  <w:style w:type="paragraph" w:styleId="Footer">
    <w:name w:val="footer"/>
    <w:basedOn w:val="Normal"/>
    <w:link w:val="FooterChar"/>
    <w:uiPriority w:val="99"/>
    <w:unhideWhenUsed/>
    <w:rsid w:val="009F3B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B8E"/>
  </w:style>
  <w:style w:type="paragraph" w:styleId="BalloonText">
    <w:name w:val="Balloon Text"/>
    <w:basedOn w:val="Normal"/>
    <w:link w:val="BalloonTextChar"/>
    <w:uiPriority w:val="99"/>
    <w:semiHidden/>
    <w:unhideWhenUsed/>
    <w:rsid w:val="00672D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2D2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S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3B8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9F3B8E"/>
    <w:pPr>
      <w:spacing w:after="0" w:line="240" w:lineRule="auto"/>
    </w:pPr>
    <w:rPr>
      <w:sz w:val="20"/>
      <w:szCs w:val="20"/>
    </w:rPr>
  </w:style>
  <w:style w:type="character" w:customStyle="1" w:styleId="FootnoteTextChar">
    <w:name w:val="Footnote Text Char"/>
    <w:basedOn w:val="DefaultParagraphFont"/>
    <w:link w:val="FootnoteText"/>
    <w:uiPriority w:val="99"/>
    <w:rsid w:val="009F3B8E"/>
    <w:rPr>
      <w:sz w:val="20"/>
      <w:szCs w:val="20"/>
    </w:rPr>
  </w:style>
  <w:style w:type="character" w:styleId="FootnoteReference">
    <w:name w:val="footnote reference"/>
    <w:basedOn w:val="DefaultParagraphFont"/>
    <w:uiPriority w:val="99"/>
    <w:unhideWhenUsed/>
    <w:rsid w:val="009F3B8E"/>
    <w:rPr>
      <w:vertAlign w:val="superscript"/>
    </w:rPr>
  </w:style>
  <w:style w:type="character" w:customStyle="1" w:styleId="highlight">
    <w:name w:val="highlight"/>
    <w:basedOn w:val="DefaultParagraphFont"/>
    <w:rsid w:val="009F3B8E"/>
  </w:style>
  <w:style w:type="character" w:styleId="Hyperlink">
    <w:name w:val="Hyperlink"/>
    <w:basedOn w:val="DefaultParagraphFont"/>
    <w:uiPriority w:val="99"/>
    <w:unhideWhenUsed/>
    <w:rsid w:val="009F3B8E"/>
    <w:rPr>
      <w:color w:val="0000FF" w:themeColor="hyperlink"/>
      <w:u w:val="single"/>
    </w:rPr>
  </w:style>
  <w:style w:type="paragraph" w:styleId="Footer">
    <w:name w:val="footer"/>
    <w:basedOn w:val="Normal"/>
    <w:link w:val="FooterChar"/>
    <w:uiPriority w:val="99"/>
    <w:unhideWhenUsed/>
    <w:rsid w:val="009F3B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B8E"/>
  </w:style>
  <w:style w:type="paragraph" w:styleId="BalloonText">
    <w:name w:val="Balloon Text"/>
    <w:basedOn w:val="Normal"/>
    <w:link w:val="BalloonTextChar"/>
    <w:uiPriority w:val="99"/>
    <w:semiHidden/>
    <w:unhideWhenUsed/>
    <w:rsid w:val="00672D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2D2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3527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nursistudies.com/teblig.php?tno=476" TargetMode="External"/><Relationship Id="rId3" Type="http://schemas.openxmlformats.org/officeDocument/2006/relationships/hyperlink" Target="http://nursistudies.com/teblig.php?tno=525" TargetMode="External"/><Relationship Id="rId7" Type="http://schemas.openxmlformats.org/officeDocument/2006/relationships/hyperlink" Target="http://andromeda.rutgers.edu/~rtavakol/engineer/plurals.htm" TargetMode="External"/><Relationship Id="rId2" Type="http://schemas.openxmlformats.org/officeDocument/2006/relationships/hyperlink" Target="http://nursistudies.com/teblig.php?tno=476" TargetMode="External"/><Relationship Id="rId1" Type="http://schemas.openxmlformats.org/officeDocument/2006/relationships/hyperlink" Target="http://nursistudies.com/teblig.php?tno=542" TargetMode="External"/><Relationship Id="rId6" Type="http://schemas.openxmlformats.org/officeDocument/2006/relationships/hyperlink" Target="http://www.cfr.org/religion/islam-governing-under-sharia/p8034" TargetMode="External"/><Relationship Id="rId5" Type="http://schemas.openxmlformats.org/officeDocument/2006/relationships/hyperlink" Target="http://www.bernama.com/bernama/v7/newsindex.php?id=964909" TargetMode="External"/><Relationship Id="rId10" Type="http://schemas.openxmlformats.org/officeDocument/2006/relationships/hyperlink" Target="http://www.csss-isla.com/iis-archive41.htm" TargetMode="External"/><Relationship Id="rId4" Type="http://schemas.openxmlformats.org/officeDocument/2006/relationships/hyperlink" Target="http://www.al-monitor.com/pulse/culture/2013/01/attacks-target-tunisian-heritage-sites.html" TargetMode="External"/><Relationship Id="rId9" Type="http://schemas.openxmlformats.org/officeDocument/2006/relationships/hyperlink" Target="http://www.opendemocracy.net/5050/mariz-tadros/egypt-islamization-of-state-poli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E967E4-9E6A-42BD-8F1E-29A9A9BFB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11</Pages>
  <Words>3598</Words>
  <Characters>20509</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Nurhidayahti Md Miharja</dc:creator>
  <cp:lastModifiedBy>Nurhidayahti Md Miharja</cp:lastModifiedBy>
  <cp:revision>3</cp:revision>
  <cp:lastPrinted>2013-07-25T09:39:00Z</cp:lastPrinted>
  <dcterms:created xsi:type="dcterms:W3CDTF">2013-07-25T09:06:00Z</dcterms:created>
  <dcterms:modified xsi:type="dcterms:W3CDTF">2013-07-25T09:47:00Z</dcterms:modified>
</cp:coreProperties>
</file>