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B9D" w:rsidRDefault="004E1D1D" w:rsidP="004E1D1D">
      <w:pPr>
        <w:jc w:val="center"/>
        <w:rPr>
          <w:rFonts w:ascii="Times New Roman" w:hAnsi="Times New Roman" w:cs="Times New Roman"/>
          <w:sz w:val="24"/>
          <w:lang w:val="en-US"/>
        </w:rPr>
      </w:pPr>
      <w:r w:rsidRPr="004E1D1D">
        <w:rPr>
          <w:rFonts w:ascii="Times New Roman" w:hAnsi="Times New Roman" w:cs="Times New Roman"/>
          <w:b/>
          <w:sz w:val="24"/>
          <w:lang w:val="en-US"/>
        </w:rPr>
        <w:t>SPIRITUAL DIMENSIONS OF HUMAN BEINGS AS THE MODEL OF SOCIAL LIFE IN NURSI'S THOUGHT</w:t>
      </w:r>
    </w:p>
    <w:p w:rsidR="004E1D1D" w:rsidRPr="00AE5279" w:rsidRDefault="004E1D1D" w:rsidP="004E1D1D">
      <w:pPr>
        <w:spacing w:after="0" w:line="240" w:lineRule="auto"/>
        <w:jc w:val="both"/>
        <w:rPr>
          <w:rFonts w:ascii="Times New Roman" w:hAnsi="Times New Roman" w:cs="Times New Roman"/>
          <w:sz w:val="20"/>
          <w:lang w:val="en-US"/>
        </w:rPr>
      </w:pPr>
      <w:r w:rsidRPr="00AE5279">
        <w:rPr>
          <w:rFonts w:ascii="Times New Roman" w:hAnsi="Times New Roman" w:cs="Times New Roman"/>
          <w:sz w:val="20"/>
          <w:lang w:val="en-US"/>
        </w:rPr>
        <w:t xml:space="preserve">Alparslan </w:t>
      </w:r>
      <w:proofErr w:type="spellStart"/>
      <w:r w:rsidRPr="00AE5279">
        <w:rPr>
          <w:rFonts w:ascii="Times New Roman" w:hAnsi="Times New Roman" w:cs="Times New Roman"/>
          <w:sz w:val="20"/>
          <w:lang w:val="en-US"/>
        </w:rPr>
        <w:t>Açıkgenç</w:t>
      </w:r>
      <w:proofErr w:type="spellEnd"/>
    </w:p>
    <w:p w:rsidR="004E1D1D" w:rsidRPr="00AE5279" w:rsidRDefault="004E1D1D" w:rsidP="004E1D1D">
      <w:pPr>
        <w:spacing w:after="0" w:line="240" w:lineRule="auto"/>
        <w:jc w:val="both"/>
        <w:rPr>
          <w:rFonts w:ascii="Times New Roman" w:hAnsi="Times New Roman" w:cs="Times New Roman"/>
          <w:sz w:val="20"/>
          <w:lang w:val="en-US"/>
        </w:rPr>
      </w:pPr>
      <w:r w:rsidRPr="00AE5279">
        <w:rPr>
          <w:rFonts w:ascii="Times New Roman" w:hAnsi="Times New Roman" w:cs="Times New Roman"/>
          <w:sz w:val="20"/>
          <w:lang w:val="en-US"/>
        </w:rPr>
        <w:t>Member, Turkish Academy of Sciences</w:t>
      </w:r>
    </w:p>
    <w:p w:rsidR="004E1D1D" w:rsidRPr="00AE5279" w:rsidRDefault="004E1D1D" w:rsidP="004E1D1D">
      <w:pPr>
        <w:spacing w:after="0" w:line="240" w:lineRule="auto"/>
        <w:jc w:val="both"/>
        <w:rPr>
          <w:rFonts w:ascii="Times New Roman" w:hAnsi="Times New Roman" w:cs="Times New Roman"/>
          <w:sz w:val="20"/>
          <w:lang w:val="en-US"/>
        </w:rPr>
      </w:pPr>
      <w:r w:rsidRPr="00AE5279">
        <w:rPr>
          <w:rFonts w:ascii="Times New Roman" w:hAnsi="Times New Roman" w:cs="Times New Roman"/>
          <w:sz w:val="20"/>
          <w:lang w:val="en-US"/>
        </w:rPr>
        <w:t>Professor Emeritus</w:t>
      </w:r>
    </w:p>
    <w:p w:rsidR="004E1D1D" w:rsidRPr="00AE5279" w:rsidRDefault="004E1D1D" w:rsidP="004E1D1D">
      <w:pPr>
        <w:spacing w:after="0" w:line="240" w:lineRule="auto"/>
        <w:jc w:val="both"/>
        <w:rPr>
          <w:rFonts w:ascii="Times New Roman" w:hAnsi="Times New Roman" w:cs="Times New Roman"/>
          <w:sz w:val="20"/>
          <w:lang w:val="en-US"/>
        </w:rPr>
      </w:pPr>
      <w:proofErr w:type="spellStart"/>
      <w:r w:rsidRPr="00AE5279">
        <w:rPr>
          <w:rFonts w:ascii="Times New Roman" w:hAnsi="Times New Roman" w:cs="Times New Roman"/>
          <w:sz w:val="20"/>
          <w:lang w:val="en-US"/>
        </w:rPr>
        <w:t>Uskudar</w:t>
      </w:r>
      <w:proofErr w:type="spellEnd"/>
      <w:r w:rsidRPr="00AE5279">
        <w:rPr>
          <w:rFonts w:ascii="Times New Roman" w:hAnsi="Times New Roman" w:cs="Times New Roman"/>
          <w:sz w:val="20"/>
          <w:lang w:val="en-US"/>
        </w:rPr>
        <w:t xml:space="preserve"> University</w:t>
      </w:r>
    </w:p>
    <w:p w:rsidR="004E1D1D" w:rsidRDefault="004E1D1D" w:rsidP="004E1D1D">
      <w:pPr>
        <w:spacing w:after="0" w:line="240" w:lineRule="auto"/>
        <w:jc w:val="both"/>
        <w:rPr>
          <w:rFonts w:ascii="Times New Roman" w:hAnsi="Times New Roman" w:cs="Times New Roman"/>
          <w:sz w:val="24"/>
          <w:lang w:val="en-US"/>
        </w:rPr>
      </w:pPr>
      <w:r w:rsidRPr="00AE5279">
        <w:rPr>
          <w:rFonts w:ascii="Times New Roman" w:hAnsi="Times New Roman" w:cs="Times New Roman"/>
          <w:sz w:val="20"/>
          <w:lang w:val="en-US"/>
        </w:rPr>
        <w:t>ISTANBUL</w:t>
      </w:r>
    </w:p>
    <w:p w:rsidR="004E1D1D" w:rsidRPr="00AE5279" w:rsidRDefault="00AE5279" w:rsidP="00AE5279">
      <w:pPr>
        <w:ind w:left="1077" w:right="1077"/>
        <w:jc w:val="center"/>
        <w:rPr>
          <w:rFonts w:ascii="Times New Roman" w:hAnsi="Times New Roman" w:cs="Times New Roman"/>
          <w:b/>
          <w:sz w:val="20"/>
          <w:lang w:val="en-US"/>
        </w:rPr>
      </w:pPr>
      <w:r w:rsidRPr="00AE5279">
        <w:rPr>
          <w:rFonts w:ascii="Times New Roman" w:hAnsi="Times New Roman" w:cs="Times New Roman"/>
          <w:b/>
          <w:sz w:val="20"/>
          <w:lang w:val="en-US"/>
        </w:rPr>
        <w:t>Abstract</w:t>
      </w:r>
    </w:p>
    <w:p w:rsidR="004E1D1D" w:rsidRPr="00A24275" w:rsidRDefault="00AE5279" w:rsidP="00AE5279">
      <w:pPr>
        <w:ind w:left="1077" w:right="1077"/>
        <w:jc w:val="both"/>
        <w:rPr>
          <w:rFonts w:ascii="Times New Roman" w:hAnsi="Times New Roman" w:cs="Times New Roman"/>
          <w:sz w:val="20"/>
          <w:lang w:val="en-US"/>
        </w:rPr>
      </w:pPr>
      <w:r w:rsidRPr="00AE5279">
        <w:rPr>
          <w:rFonts w:ascii="Times New Roman" w:hAnsi="Times New Roman" w:cs="Times New Roman"/>
          <w:sz w:val="20"/>
          <w:lang w:val="en-US"/>
        </w:rPr>
        <w:t>Social harmony endows the society with peace and tolerance. For this reason, it is very important especially in our world today with global influences and speedy movement of people with different cultures. This paper is an attempt first to elucidate the concept of “s</w:t>
      </w:r>
      <w:r w:rsidR="00A24275">
        <w:rPr>
          <w:rFonts w:ascii="Times New Roman" w:hAnsi="Times New Roman" w:cs="Times New Roman"/>
          <w:sz w:val="20"/>
          <w:lang w:val="en-US"/>
        </w:rPr>
        <w:t>pirituality</w:t>
      </w:r>
      <w:r w:rsidRPr="00AE5279">
        <w:rPr>
          <w:rFonts w:ascii="Times New Roman" w:hAnsi="Times New Roman" w:cs="Times New Roman"/>
          <w:sz w:val="20"/>
          <w:lang w:val="en-US"/>
        </w:rPr>
        <w:t>”</w:t>
      </w:r>
      <w:r w:rsidR="00A24275">
        <w:rPr>
          <w:rFonts w:ascii="Times New Roman" w:hAnsi="Times New Roman" w:cs="Times New Roman"/>
          <w:sz w:val="20"/>
          <w:lang w:val="en-US"/>
        </w:rPr>
        <w:t xml:space="preserve"> as understood by </w:t>
      </w:r>
      <w:proofErr w:type="spellStart"/>
      <w:r w:rsidR="00A24275">
        <w:rPr>
          <w:rFonts w:ascii="Times New Roman" w:hAnsi="Times New Roman" w:cs="Times New Roman"/>
          <w:sz w:val="20"/>
          <w:lang w:val="en-US"/>
        </w:rPr>
        <w:t>Bediuzzaman</w:t>
      </w:r>
      <w:proofErr w:type="spellEnd"/>
      <w:r w:rsidR="00A24275">
        <w:rPr>
          <w:rFonts w:ascii="Times New Roman" w:hAnsi="Times New Roman" w:cs="Times New Roman"/>
          <w:sz w:val="20"/>
          <w:lang w:val="en-US"/>
        </w:rPr>
        <w:t xml:space="preserve"> Sad </w:t>
      </w:r>
      <w:proofErr w:type="spellStart"/>
      <w:r w:rsidR="00A24275">
        <w:rPr>
          <w:rFonts w:ascii="Times New Roman" w:hAnsi="Times New Roman" w:cs="Times New Roman"/>
          <w:sz w:val="20"/>
          <w:lang w:val="en-US"/>
        </w:rPr>
        <w:t>Nursi</w:t>
      </w:r>
      <w:proofErr w:type="spellEnd"/>
      <w:r w:rsidRPr="00AE5279">
        <w:rPr>
          <w:rFonts w:ascii="Times New Roman" w:hAnsi="Times New Roman" w:cs="Times New Roman"/>
          <w:sz w:val="20"/>
          <w:lang w:val="en-US"/>
        </w:rPr>
        <w:t xml:space="preserve">, and then try to see how this was achieved in </w:t>
      </w:r>
      <w:r w:rsidR="00A24275">
        <w:rPr>
          <w:rFonts w:ascii="Times New Roman" w:hAnsi="Times New Roman" w:cs="Times New Roman"/>
          <w:sz w:val="20"/>
          <w:lang w:val="en-US"/>
        </w:rPr>
        <w:t xml:space="preserve">his works called the </w:t>
      </w:r>
      <w:proofErr w:type="spellStart"/>
      <w:r w:rsidR="00A24275">
        <w:rPr>
          <w:rFonts w:ascii="Times New Roman" w:hAnsi="Times New Roman" w:cs="Times New Roman"/>
          <w:i/>
          <w:sz w:val="20"/>
          <w:lang w:val="en-US"/>
        </w:rPr>
        <w:t>Risale-i</w:t>
      </w:r>
      <w:proofErr w:type="spellEnd"/>
      <w:r w:rsidR="00A24275">
        <w:rPr>
          <w:rFonts w:ascii="Times New Roman" w:hAnsi="Times New Roman" w:cs="Times New Roman"/>
          <w:i/>
          <w:sz w:val="20"/>
          <w:lang w:val="en-US"/>
        </w:rPr>
        <w:t xml:space="preserve"> </w:t>
      </w:r>
      <w:proofErr w:type="spellStart"/>
      <w:r w:rsidR="00A24275">
        <w:rPr>
          <w:rFonts w:ascii="Times New Roman" w:hAnsi="Times New Roman" w:cs="Times New Roman"/>
          <w:i/>
          <w:sz w:val="20"/>
          <w:lang w:val="en-US"/>
        </w:rPr>
        <w:t>Nur</w:t>
      </w:r>
      <w:proofErr w:type="spellEnd"/>
      <w:r w:rsidR="00A24275">
        <w:rPr>
          <w:rFonts w:ascii="Times New Roman" w:hAnsi="Times New Roman" w:cs="Times New Roman"/>
          <w:i/>
          <w:sz w:val="20"/>
          <w:lang w:val="en-US"/>
        </w:rPr>
        <w:t xml:space="preserve"> Collection</w:t>
      </w:r>
      <w:r w:rsidR="00A24275">
        <w:rPr>
          <w:rFonts w:ascii="Times New Roman" w:hAnsi="Times New Roman" w:cs="Times New Roman"/>
          <w:sz w:val="20"/>
          <w:lang w:val="en-US"/>
        </w:rPr>
        <w:t xml:space="preserve"> (</w:t>
      </w:r>
      <w:proofErr w:type="spellStart"/>
      <w:r w:rsidR="00A24275">
        <w:rPr>
          <w:rFonts w:ascii="Times New Roman" w:hAnsi="Times New Roman" w:cs="Times New Roman"/>
          <w:i/>
          <w:sz w:val="20"/>
          <w:lang w:val="en-US"/>
        </w:rPr>
        <w:t>Risale-i</w:t>
      </w:r>
      <w:proofErr w:type="spellEnd"/>
      <w:r w:rsidR="00A24275">
        <w:rPr>
          <w:rFonts w:ascii="Times New Roman" w:hAnsi="Times New Roman" w:cs="Times New Roman"/>
          <w:i/>
          <w:sz w:val="20"/>
          <w:lang w:val="en-US"/>
        </w:rPr>
        <w:t xml:space="preserve"> </w:t>
      </w:r>
      <w:proofErr w:type="spellStart"/>
      <w:r w:rsidR="00A24275">
        <w:rPr>
          <w:rFonts w:ascii="Times New Roman" w:hAnsi="Times New Roman" w:cs="Times New Roman"/>
          <w:i/>
          <w:sz w:val="20"/>
          <w:lang w:val="en-US"/>
        </w:rPr>
        <w:t>Nur</w:t>
      </w:r>
      <w:proofErr w:type="spellEnd"/>
      <w:r w:rsidR="00A24275">
        <w:rPr>
          <w:rFonts w:ascii="Times New Roman" w:hAnsi="Times New Roman" w:cs="Times New Roman"/>
          <w:i/>
          <w:sz w:val="20"/>
          <w:lang w:val="en-US"/>
        </w:rPr>
        <w:t xml:space="preserve"> </w:t>
      </w:r>
      <w:proofErr w:type="spellStart"/>
      <w:r w:rsidR="00A24275">
        <w:rPr>
          <w:rFonts w:ascii="Times New Roman" w:hAnsi="Times New Roman" w:cs="Times New Roman"/>
          <w:i/>
          <w:sz w:val="20"/>
          <w:lang w:val="en-US"/>
        </w:rPr>
        <w:t>Külliyatı</w:t>
      </w:r>
      <w:proofErr w:type="spellEnd"/>
      <w:r w:rsidR="00A24275">
        <w:rPr>
          <w:rFonts w:ascii="Times New Roman" w:hAnsi="Times New Roman" w:cs="Times New Roman"/>
          <w:sz w:val="20"/>
          <w:lang w:val="en-US"/>
        </w:rPr>
        <w:t xml:space="preserve">, I shall abbreviate this as </w:t>
      </w:r>
      <w:proofErr w:type="spellStart"/>
      <w:r w:rsidR="00A24275">
        <w:rPr>
          <w:rFonts w:ascii="Times New Roman" w:hAnsi="Times New Roman" w:cs="Times New Roman"/>
          <w:i/>
          <w:sz w:val="20"/>
          <w:lang w:val="en-US"/>
        </w:rPr>
        <w:t>Rasâil</w:t>
      </w:r>
      <w:proofErr w:type="spellEnd"/>
      <w:r w:rsidR="00A24275">
        <w:rPr>
          <w:rFonts w:ascii="Times New Roman" w:hAnsi="Times New Roman" w:cs="Times New Roman"/>
          <w:sz w:val="20"/>
          <w:lang w:val="en-US"/>
        </w:rPr>
        <w:t>).</w:t>
      </w:r>
      <w:r w:rsidRPr="00AE5279">
        <w:rPr>
          <w:rFonts w:ascii="Times New Roman" w:hAnsi="Times New Roman" w:cs="Times New Roman"/>
          <w:sz w:val="20"/>
          <w:lang w:val="en-US"/>
        </w:rPr>
        <w:t xml:space="preserve"> </w:t>
      </w:r>
      <w:r w:rsidR="00A24275">
        <w:rPr>
          <w:rFonts w:ascii="Times New Roman" w:hAnsi="Times New Roman" w:cs="Times New Roman"/>
          <w:sz w:val="20"/>
          <w:lang w:val="en-US"/>
        </w:rPr>
        <w:t xml:space="preserve">My topic requires a number of subjects to be analyzed, such as human nature, and the modes of thought which result from that </w:t>
      </w:r>
      <w:r w:rsidR="000950A6">
        <w:rPr>
          <w:rFonts w:ascii="Times New Roman" w:hAnsi="Times New Roman" w:cs="Times New Roman"/>
          <w:sz w:val="20"/>
          <w:lang w:val="en-US"/>
        </w:rPr>
        <w:t>nature and also how this is ref</w:t>
      </w:r>
      <w:r w:rsidR="00A24275">
        <w:rPr>
          <w:rFonts w:ascii="Times New Roman" w:hAnsi="Times New Roman" w:cs="Times New Roman"/>
          <w:sz w:val="20"/>
          <w:lang w:val="en-US"/>
        </w:rPr>
        <w:t>l</w:t>
      </w:r>
      <w:r w:rsidR="000950A6">
        <w:rPr>
          <w:rFonts w:ascii="Times New Roman" w:hAnsi="Times New Roman" w:cs="Times New Roman"/>
          <w:sz w:val="20"/>
          <w:lang w:val="en-US"/>
        </w:rPr>
        <w:t>e</w:t>
      </w:r>
      <w:r w:rsidR="00A24275">
        <w:rPr>
          <w:rFonts w:ascii="Times New Roman" w:hAnsi="Times New Roman" w:cs="Times New Roman"/>
          <w:sz w:val="20"/>
          <w:lang w:val="en-US"/>
        </w:rPr>
        <w:t xml:space="preserve">cted on the individual’s life and society. I hope that I can bring many relevant passages from the </w:t>
      </w:r>
      <w:proofErr w:type="spellStart"/>
      <w:r w:rsidR="00A24275">
        <w:rPr>
          <w:rFonts w:ascii="Times New Roman" w:hAnsi="Times New Roman" w:cs="Times New Roman"/>
          <w:i/>
          <w:sz w:val="20"/>
          <w:lang w:val="en-US"/>
        </w:rPr>
        <w:t>Rasâil</w:t>
      </w:r>
      <w:proofErr w:type="spellEnd"/>
      <w:r w:rsidR="00A24275">
        <w:rPr>
          <w:rFonts w:ascii="Times New Roman" w:hAnsi="Times New Roman" w:cs="Times New Roman"/>
          <w:sz w:val="20"/>
          <w:lang w:val="en-US"/>
        </w:rPr>
        <w:t xml:space="preserve"> in order to understand how all these concepts are interwoven in these contemporary works.</w:t>
      </w:r>
    </w:p>
    <w:p w:rsidR="00AE5279" w:rsidRPr="00AE5279" w:rsidRDefault="00AE5279" w:rsidP="00AE5279">
      <w:pPr>
        <w:ind w:left="1361" w:right="1077"/>
        <w:jc w:val="both"/>
        <w:rPr>
          <w:rFonts w:ascii="Times New Roman" w:hAnsi="Times New Roman" w:cs="Times New Roman"/>
          <w:sz w:val="20"/>
          <w:lang w:val="en-US"/>
        </w:rPr>
      </w:pPr>
      <w:r w:rsidRPr="00AE5279">
        <w:rPr>
          <w:rFonts w:ascii="Times New Roman" w:hAnsi="Times New Roman" w:cs="Times New Roman"/>
          <w:b/>
          <w:sz w:val="20"/>
          <w:lang w:val="en-US"/>
        </w:rPr>
        <w:t>Key Words:</w:t>
      </w:r>
      <w:r w:rsidRPr="00AE5279">
        <w:rPr>
          <w:rFonts w:ascii="Times New Roman" w:hAnsi="Times New Roman" w:cs="Times New Roman"/>
          <w:sz w:val="20"/>
          <w:lang w:val="en-US"/>
        </w:rPr>
        <w:t xml:space="preserve"> </w:t>
      </w:r>
      <w:proofErr w:type="spellStart"/>
      <w:r>
        <w:rPr>
          <w:rFonts w:ascii="Times New Roman" w:hAnsi="Times New Roman" w:cs="Times New Roman"/>
          <w:sz w:val="20"/>
          <w:lang w:val="en-US"/>
        </w:rPr>
        <w:t>Nursi</w:t>
      </w:r>
      <w:proofErr w:type="spellEnd"/>
      <w:r>
        <w:rPr>
          <w:rFonts w:ascii="Times New Roman" w:hAnsi="Times New Roman" w:cs="Times New Roman"/>
          <w:sz w:val="20"/>
          <w:lang w:val="en-US"/>
        </w:rPr>
        <w:t xml:space="preserve">, </w:t>
      </w:r>
      <w:proofErr w:type="spellStart"/>
      <w:r>
        <w:rPr>
          <w:rFonts w:ascii="Times New Roman" w:hAnsi="Times New Roman" w:cs="Times New Roman"/>
          <w:i/>
          <w:sz w:val="20"/>
          <w:lang w:val="en-US"/>
        </w:rPr>
        <w:t>Risale-i</w:t>
      </w:r>
      <w:proofErr w:type="spellEnd"/>
      <w:r>
        <w:rPr>
          <w:rFonts w:ascii="Times New Roman" w:hAnsi="Times New Roman" w:cs="Times New Roman"/>
          <w:i/>
          <w:sz w:val="20"/>
          <w:lang w:val="en-US"/>
        </w:rPr>
        <w:t xml:space="preserve"> </w:t>
      </w:r>
      <w:proofErr w:type="spellStart"/>
      <w:r>
        <w:rPr>
          <w:rFonts w:ascii="Times New Roman" w:hAnsi="Times New Roman" w:cs="Times New Roman"/>
          <w:i/>
          <w:sz w:val="20"/>
          <w:lang w:val="en-US"/>
        </w:rPr>
        <w:t>Nur</w:t>
      </w:r>
      <w:proofErr w:type="spellEnd"/>
      <w:r>
        <w:rPr>
          <w:rFonts w:ascii="Times New Roman" w:hAnsi="Times New Roman" w:cs="Times New Roman"/>
          <w:sz w:val="20"/>
          <w:lang w:val="en-US"/>
        </w:rPr>
        <w:t xml:space="preserve">, spirituality, social life, </w:t>
      </w:r>
      <w:r w:rsidR="00A24275">
        <w:rPr>
          <w:rFonts w:ascii="Times New Roman" w:hAnsi="Times New Roman" w:cs="Times New Roman"/>
          <w:sz w:val="20"/>
          <w:lang w:val="en-US"/>
        </w:rPr>
        <w:t>human nature</w:t>
      </w:r>
    </w:p>
    <w:p w:rsidR="005529D4" w:rsidRDefault="005529D4" w:rsidP="00AE5279">
      <w:pPr>
        <w:pStyle w:val="Maintext"/>
      </w:pPr>
      <w:r w:rsidRPr="005529D4">
        <w:t>Human spirituality as a dimension is reflected on human ways of thinking.</w:t>
      </w:r>
      <w:r>
        <w:t xml:space="preserve"> For this </w:t>
      </w:r>
      <w:r w:rsidR="000950A6">
        <w:t>reason,</w:t>
      </w:r>
      <w:r>
        <w:t xml:space="preserve"> if I first evaluate</w:t>
      </w:r>
      <w:r w:rsidR="0050069E">
        <w:t xml:space="preserve"> how humans demonstrate different modes of thought throughout their lives we can understand my proposal better. If we examine the life of any human </w:t>
      </w:r>
      <w:r w:rsidR="000950A6">
        <w:t>being,</w:t>
      </w:r>
      <w:r w:rsidR="0050069E">
        <w:t xml:space="preserve"> we can see that the first mode of thought we demonstrate if concrete thinking. Just observe a baby, you can see this in all of his behavior. For a baby cannot think yet in concepts, in order to understand what a thing is s/he must bring the thing at his reach to his mouth. Only then the baby can tell what it is. I usually refer to this mode of thought as “thinking with hands and feet”. But through this way of thinking a baby accumulates some knowledge which is also concrete. However, as the baby grows he begins to utilize his/her other faculties of perception, such as the eyes, ears and understanding. This way the baby is able to analyze more complex issues. This second mode of thought can be called “perceptive thinking”. The knowledge acquired in this way is called “sense-perception”. At this level there is a comprehensive approach to knowledge and thinking and as such it is the first step to</w:t>
      </w:r>
      <w:r w:rsidR="000950A6">
        <w:t>wards</w:t>
      </w:r>
      <w:r w:rsidR="0050069E">
        <w:t xml:space="preserve"> abstract thought.</w:t>
      </w:r>
      <w:r w:rsidR="000950A6">
        <w:t xml:space="preserve"> By achieving abstraction of concrete impressions humans are able to form concepts. Normally a concept is either an abstraction which represents a thing in the mind or again an abstraction referring to something represented in the mind already. The second kind has two levels of abstraction and as such they are more abstract. A mode of thought produced in this way is conceptual thinking. At this level we are grown up and are able to perceive abstract ideas. Conceptual thinking is the highest level of intellectual thinking and also intellectual abstraction.</w:t>
      </w:r>
    </w:p>
    <w:p w:rsidR="000950A6" w:rsidRPr="00D60B70" w:rsidRDefault="000950A6" w:rsidP="00AE5279">
      <w:pPr>
        <w:pStyle w:val="Maintext"/>
      </w:pPr>
      <w:r>
        <w:lastRenderedPageBreak/>
        <w:t xml:space="preserve">Usually most philosophers think that this is the highest level of abstraction and the highest mode of thinking. </w:t>
      </w:r>
      <w:r w:rsidR="0057061C">
        <w:t>This is because they never examined modes of thinking in Islamic civilization. Muslims have achieved a higher level of abstraction and thus the highest mode of thinking which is found in other civilization in a very weak form. At this level, a human being is supposed to use his/her spiritual faculties, called “</w:t>
      </w:r>
      <w:proofErr w:type="spellStart"/>
      <w:r w:rsidR="0057061C">
        <w:rPr>
          <w:i/>
        </w:rPr>
        <w:t>latâif</w:t>
      </w:r>
      <w:proofErr w:type="spellEnd"/>
      <w:r w:rsidR="0057061C">
        <w:t>” which can be translated into English as “subtle faculties”. But there is no other concept which was developed in Western civilization for these higher spiritual faculties. In fact the center of these faculties is known as “heart” (</w:t>
      </w:r>
      <w:proofErr w:type="spellStart"/>
      <w:r w:rsidR="0057061C">
        <w:rPr>
          <w:i/>
        </w:rPr>
        <w:t>qalb</w:t>
      </w:r>
      <w:proofErr w:type="spellEnd"/>
      <w:r w:rsidR="0057061C">
        <w:t>) is never used in Western epistemologies with a perhaps weak allusion by Pascal</w:t>
      </w:r>
      <w:r w:rsidR="00AB2409">
        <w:t xml:space="preserve"> (d. 1662)</w:t>
      </w:r>
      <w:r w:rsidR="0057061C">
        <w:t>.</w:t>
      </w:r>
      <w:r w:rsidR="0057061C">
        <w:rPr>
          <w:rStyle w:val="DipnotBavurusu"/>
        </w:rPr>
        <w:footnoteReference w:id="1"/>
      </w:r>
      <w:r w:rsidR="00AB2409">
        <w:t xml:space="preserve"> Therefore, in this sense we can say that Pascal did achieve some level of spiritual thought.</w:t>
      </w:r>
      <w:r w:rsidR="00AB2409">
        <w:rPr>
          <w:rStyle w:val="DipnotBavurusu"/>
        </w:rPr>
        <w:footnoteReference w:id="2"/>
      </w:r>
      <w:r w:rsidR="001A5D2B">
        <w:t xml:space="preserve"> Each mode of thought provides knowledge concerning an ontological realm. Therefore, there is also an ontology corresponding to these modes of thinking. The first two modes of thinking can give knowledge only of the physical universe</w:t>
      </w:r>
      <w:r w:rsidR="00D60B70">
        <w:t xml:space="preserve"> whose knowledge is concrete anyway. But once it is perceived conceptually it is transferred into the third kind of intellectual knowledge. Therefore, although the third ode of thinking corresponds to the physical universe it transfers its knowledge to theoretical </w:t>
      </w:r>
      <w:proofErr w:type="spellStart"/>
      <w:r w:rsidR="00D60B70">
        <w:t>abtraction</w:t>
      </w:r>
      <w:proofErr w:type="spellEnd"/>
      <w:r w:rsidR="00D60B70">
        <w:t xml:space="preserve"> and thus becomes intellectual or “scientific”. However, the fourth mode of thinking which belongs to our spiritual subtle faculties as they are called in the </w:t>
      </w:r>
      <w:proofErr w:type="spellStart"/>
      <w:r w:rsidR="00D60B70">
        <w:rPr>
          <w:i/>
        </w:rPr>
        <w:t>Rasâil</w:t>
      </w:r>
      <w:proofErr w:type="spellEnd"/>
      <w:r w:rsidR="00D60B70">
        <w:t xml:space="preserve"> “</w:t>
      </w:r>
      <w:proofErr w:type="spellStart"/>
      <w:r w:rsidR="00D60B70" w:rsidRPr="00D60B70">
        <w:rPr>
          <w:i/>
        </w:rPr>
        <w:t>qalb</w:t>
      </w:r>
      <w:proofErr w:type="spellEnd"/>
      <w:r w:rsidR="00D60B70">
        <w:t>”, “</w:t>
      </w:r>
      <w:proofErr w:type="spellStart"/>
      <w:r w:rsidR="00D60B70" w:rsidRPr="00D60B70">
        <w:rPr>
          <w:i/>
        </w:rPr>
        <w:t>rûh</w:t>
      </w:r>
      <w:proofErr w:type="spellEnd"/>
      <w:r w:rsidR="00D60B70">
        <w:t>”, “</w:t>
      </w:r>
      <w:r w:rsidR="00D60B70" w:rsidRPr="00D60B70">
        <w:rPr>
          <w:i/>
        </w:rPr>
        <w:t>sir</w:t>
      </w:r>
      <w:r w:rsidR="00D60B70">
        <w:t>” and “</w:t>
      </w:r>
      <w:proofErr w:type="spellStart"/>
      <w:r w:rsidR="00D60B70" w:rsidRPr="00D60B70">
        <w:rPr>
          <w:i/>
        </w:rPr>
        <w:t>sirru’s-sirr</w:t>
      </w:r>
      <w:proofErr w:type="spellEnd"/>
      <w:r w:rsidR="00D60B70">
        <w:t>”. Now we can summarize all these modes of thinking into four categories as below:</w:t>
      </w:r>
    </w:p>
    <w:p w:rsidR="00AE5279" w:rsidRDefault="005529D4" w:rsidP="00E80AEE">
      <w:pPr>
        <w:pStyle w:val="Maintext"/>
        <w:spacing w:line="276" w:lineRule="auto"/>
      </w:pPr>
      <w:r w:rsidRPr="005529D4">
        <w:t>I. Concrete Thinking:</w:t>
      </w:r>
      <w:r>
        <w:t xml:space="preserve"> </w:t>
      </w:r>
      <w:r w:rsidRPr="005529D4">
        <w:t>Carried out biologically mainly t</w:t>
      </w:r>
      <w:r>
        <w:t>hrough the faculty of sensation;</w:t>
      </w:r>
    </w:p>
    <w:p w:rsidR="005529D4" w:rsidRPr="005529D4" w:rsidRDefault="005529D4" w:rsidP="00E80AEE">
      <w:pPr>
        <w:pStyle w:val="Maintext"/>
        <w:spacing w:line="276" w:lineRule="auto"/>
      </w:pPr>
      <w:r w:rsidRPr="005529D4">
        <w:t>II. Perceptive Thinking: Carried out by the senses, usually called «sense-perception»;</w:t>
      </w:r>
    </w:p>
    <w:p w:rsidR="005529D4" w:rsidRPr="005529D4" w:rsidRDefault="005529D4" w:rsidP="00E80AEE">
      <w:pPr>
        <w:pStyle w:val="Maintext"/>
        <w:spacing w:line="276" w:lineRule="auto"/>
      </w:pPr>
      <w:r w:rsidRPr="005529D4">
        <w:t>III. Conceptual Thinking: Carried out by the «intellect».</w:t>
      </w:r>
    </w:p>
    <w:p w:rsidR="005529D4" w:rsidRPr="005529D4" w:rsidRDefault="005529D4" w:rsidP="00E80AEE">
      <w:pPr>
        <w:pStyle w:val="Maintext"/>
        <w:spacing w:line="276" w:lineRule="auto"/>
        <w:ind w:left="681" w:hanging="284"/>
      </w:pPr>
      <w:r w:rsidRPr="005529D4">
        <w:t>IV. Spiritual Thinking: This is thinking through the «spirit»; carried out by the «heart» and allied faculties.</w:t>
      </w:r>
    </w:p>
    <w:p w:rsidR="005529D4" w:rsidRPr="00616AC5" w:rsidRDefault="00D60B70" w:rsidP="00D60B70">
      <w:pPr>
        <w:pStyle w:val="Maintext"/>
      </w:pPr>
      <w:r w:rsidRPr="00D60B70">
        <w:t>It is this last way of thinking which represents the human spiritual dimension. But as such it is not based only on thinking because it includes a rich way of spiritual experiences. Our concern is to search for these experiences which develops a model human being for the society.</w:t>
      </w:r>
      <w:r>
        <w:t xml:space="preserve"> </w:t>
      </w:r>
      <w:r w:rsidRPr="00D60B70">
        <w:t>Human nature has always been a concern of central importance in philosophy. Since the time of the great Greek philosophers Plato and Aristotle human nature has been a focus of attention to be investigated from many different perspectives.</w:t>
      </w:r>
      <w:r>
        <w:t xml:space="preserve"> </w:t>
      </w:r>
      <w:r w:rsidRPr="00D60B70">
        <w:t>However, human spirituality is more emphasized in religious thought rather than in philosophical and social thought. For this reason</w:t>
      </w:r>
      <w:r>
        <w:t>,</w:t>
      </w:r>
      <w:r w:rsidRPr="00D60B70">
        <w:t xml:space="preserve"> </w:t>
      </w:r>
      <w:r w:rsidRPr="00D60B70">
        <w:lastRenderedPageBreak/>
        <w:t>some philosophers such as al-</w:t>
      </w:r>
      <w:proofErr w:type="spellStart"/>
      <w:r w:rsidRPr="00D60B70">
        <w:t>Ghazali</w:t>
      </w:r>
      <w:proofErr w:type="spellEnd"/>
      <w:r w:rsidRPr="00D60B70">
        <w:t xml:space="preserve"> and </w:t>
      </w:r>
      <w:proofErr w:type="spellStart"/>
      <w:r w:rsidRPr="00D60B70">
        <w:t>Nursi</w:t>
      </w:r>
      <w:proofErr w:type="spellEnd"/>
      <w:r w:rsidRPr="00D60B70">
        <w:t xml:space="preserve"> in Islamic tradition concentrate on this issue; and equally among the Christian philosophers St. Augustine and St. Thomas Aquinas brought this issue more to daylight.</w:t>
      </w:r>
      <w:r>
        <w:t xml:space="preserve"> </w:t>
      </w:r>
      <w:r w:rsidRPr="00D60B70">
        <w:t xml:space="preserve">Our concern in this study is the approach of </w:t>
      </w:r>
      <w:proofErr w:type="spellStart"/>
      <w:r w:rsidRPr="00D60B70">
        <w:t>Bediuzzaman</w:t>
      </w:r>
      <w:proofErr w:type="spellEnd"/>
      <w:r w:rsidRPr="00D60B70">
        <w:t xml:space="preserve"> Said </w:t>
      </w:r>
      <w:proofErr w:type="spellStart"/>
      <w:r w:rsidRPr="00D60B70">
        <w:t>Nursi</w:t>
      </w:r>
      <w:proofErr w:type="spellEnd"/>
      <w:r w:rsidRPr="00D60B70">
        <w:t xml:space="preserve">, a Muslim religious thinker (1873-1960) who wrote many books, some of which extensively discuss this specific issue. </w:t>
      </w:r>
      <w:proofErr w:type="spellStart"/>
      <w:r w:rsidRPr="00D60B70">
        <w:t>Nursi’s</w:t>
      </w:r>
      <w:proofErr w:type="spellEnd"/>
      <w:r w:rsidRPr="00D60B70">
        <w:t xml:space="preserve"> works are collected under the name </w:t>
      </w:r>
      <w:proofErr w:type="spellStart"/>
      <w:r w:rsidRPr="00D60B70">
        <w:rPr>
          <w:i/>
        </w:rPr>
        <w:t>Risâle-i</w:t>
      </w:r>
      <w:proofErr w:type="spellEnd"/>
      <w:r w:rsidRPr="00D60B70">
        <w:rPr>
          <w:i/>
        </w:rPr>
        <w:t xml:space="preserve"> </w:t>
      </w:r>
      <w:proofErr w:type="spellStart"/>
      <w:r w:rsidRPr="00D60B70">
        <w:rPr>
          <w:i/>
        </w:rPr>
        <w:t>Nur</w:t>
      </w:r>
      <w:proofErr w:type="spellEnd"/>
      <w:r w:rsidRPr="00D60B70">
        <w:rPr>
          <w:i/>
        </w:rPr>
        <w:t xml:space="preserve"> </w:t>
      </w:r>
      <w:proofErr w:type="spellStart"/>
      <w:r w:rsidRPr="00D60B70">
        <w:rPr>
          <w:i/>
        </w:rPr>
        <w:t>Kulliyatı</w:t>
      </w:r>
      <w:proofErr w:type="spellEnd"/>
      <w:r w:rsidRPr="00D60B70">
        <w:t xml:space="preserve"> (The Collection of Light Treatises). I shall also try to show how this understanding could be a model for social life in the modern world.</w:t>
      </w:r>
      <w:r w:rsidR="00616AC5">
        <w:t xml:space="preserve"> But before I continue, I would like to repeat what I usually say about the </w:t>
      </w:r>
      <w:proofErr w:type="spellStart"/>
      <w:r w:rsidR="00616AC5">
        <w:rPr>
          <w:i/>
        </w:rPr>
        <w:t>Rasâil</w:t>
      </w:r>
      <w:proofErr w:type="spellEnd"/>
      <w:r w:rsidR="00616AC5">
        <w:t>: we need to understand what kind of work they are so that we can benefit more from these works. If we want to understand human nature and spirituality we need to consider these works in whole and not study them partially. This is important. I would like to try to explain this first then continue with my topic.</w:t>
      </w:r>
    </w:p>
    <w:p w:rsidR="00616AC5" w:rsidRDefault="00616AC5" w:rsidP="00616AC5">
      <w:pPr>
        <w:pStyle w:val="Maintext"/>
      </w:pPr>
      <w:r>
        <w:t>If the verses in which the term “knowledge” (‘</w:t>
      </w:r>
      <w:proofErr w:type="spellStart"/>
      <w:r>
        <w:t>ilm</w:t>
      </w:r>
      <w:proofErr w:type="spellEnd"/>
      <w:r>
        <w:t xml:space="preserve">) is used can be analyzed well the we can see that the Qur’an puts knowledge and revelation in the same context: revelation permeates knowledge, illuminating </w:t>
      </w:r>
      <w:r>
        <w:t>it and thus ensuring its truth.</w:t>
      </w:r>
      <w:r>
        <w:t xml:space="preserve"> In this way, the dimension of belief which revelation adds to knowledge demonstrates itself.  The attitude a scholar acquires within the relationship of revelation-belief-knowledge is very different from that which, in the name of objectivity and impartiality, advises him to be unbiased towards acquired knowledge.  For the attitude arising from the relationship between such a person and the knowledge he acquires is a very special circumstance which we may describe as ‘enlightened knowledge.’ In this circumstance, knowledge ceases being general and becomes qualified. This way we get two kinds of knowledge: one which is the revelation itself and in this sense only the Qur’an is </w:t>
      </w:r>
      <w:r w:rsidRPr="00616AC5">
        <w:rPr>
          <w:i/>
        </w:rPr>
        <w:t>‘</w:t>
      </w:r>
      <w:proofErr w:type="spellStart"/>
      <w:r w:rsidRPr="00616AC5">
        <w:rPr>
          <w:i/>
        </w:rPr>
        <w:t>ilm</w:t>
      </w:r>
      <w:proofErr w:type="spellEnd"/>
      <w:r>
        <w:t>; the other is the knowledge based on the revelation, namely the Qur’an.</w:t>
      </w:r>
    </w:p>
    <w:p w:rsidR="00616AC5" w:rsidRDefault="00616AC5" w:rsidP="00616AC5">
      <w:pPr>
        <w:pStyle w:val="Maintext"/>
      </w:pPr>
      <w:r>
        <w:t xml:space="preserve">We see this alluded to in the </w:t>
      </w:r>
      <w:proofErr w:type="spellStart"/>
      <w:r>
        <w:t>Risale-i</w:t>
      </w:r>
      <w:proofErr w:type="spellEnd"/>
      <w:r>
        <w:t xml:space="preserve"> </w:t>
      </w:r>
      <w:proofErr w:type="spellStart"/>
      <w:r>
        <w:t>Nur</w:t>
      </w:r>
      <w:proofErr w:type="spellEnd"/>
      <w:r>
        <w:t xml:space="preserve"> in various ways: “Without the light of the heart the light of the mind will not shine; so long as the two lights are not combined, all is darkness.”</w:t>
      </w:r>
      <w:r>
        <w:rPr>
          <w:rStyle w:val="DipnotBavurusu"/>
        </w:rPr>
        <w:footnoteReference w:id="3"/>
      </w:r>
      <w:r>
        <w:t xml:space="preserve">  The following fact, emphasized strongly by </w:t>
      </w:r>
      <w:proofErr w:type="spellStart"/>
      <w:r>
        <w:t>Bediuzzaman</w:t>
      </w:r>
      <w:proofErr w:type="spellEnd"/>
      <w:r>
        <w:t>, throws light on the subject: “The sciences of religion are light of the conscience.”</w:t>
      </w:r>
      <w:r>
        <w:rPr>
          <w:rStyle w:val="DipnotBavurusu"/>
        </w:rPr>
        <w:footnoteReference w:id="4"/>
      </w:r>
      <w:r>
        <w:t xml:space="preserve">  For the sciences of religion are the product of revelation, and they illuminate the heart as a result of the relationship between revelation and knowledge. And the great need of the enlightened heart for knowledge being stated indicates the attitude towards the knowledge we have called enlightened knowledge. The relationship of this knowledge, which </w:t>
      </w:r>
      <w:proofErr w:type="spellStart"/>
      <w:r>
        <w:t>revelational</w:t>
      </w:r>
      <w:proofErr w:type="spellEnd"/>
      <w:r>
        <w:t xml:space="preserve"> knowledge qualifies, with other sorts of knowledge is as a guide to them. This general conclusion shows clearly that the Qur’an and Sunna give </w:t>
      </w:r>
      <w:r>
        <w:lastRenderedPageBreak/>
        <w:t>importance to knowledge (‘</w:t>
      </w:r>
      <w:proofErr w:type="spellStart"/>
      <w:r>
        <w:t>ilm</w:t>
      </w:r>
      <w:proofErr w:type="spellEnd"/>
      <w:r>
        <w:t>) as knowledge without distinguishing between different sorts of knowledge. However, whether science, or philosophy, or technological knowledge, if it has not been qualified by revelation, it means it has not risen to the level of Qur’anic enlightened knowledge. Enlightened knowledge is knowledge which revelation has infused with belief, and in the Islamic framework, is a level of which all sorts of knowledge have to reach. The opposite of this knowledge is ignorance. However knowledgeable a person is, and of whatever knowledge he is informed to the very highest degree, if he does not reach this level of knowledge, his knowledge is the equivalent of ignorance and harmful to mankind as the following verses make this clear: “But many do mislead [men] by their appetites unchecked by knowledge.” (Qur’an, 6:119 and 140).</w:t>
      </w:r>
    </w:p>
    <w:p w:rsidR="00616AC5" w:rsidRDefault="00616AC5" w:rsidP="00616AC5">
      <w:pPr>
        <w:pStyle w:val="Maintext"/>
      </w:pPr>
      <w:r>
        <w:t xml:space="preserve">Thus, in the Islamic context, “ignorant” does not refer only to those lacking knowledge, but to those with knowledge who do not allow revelation to suffuse their knowledge with belief.  This is discussed with great clarity and effectiveness in the </w:t>
      </w:r>
      <w:proofErr w:type="spellStart"/>
      <w:r>
        <w:t>Risale-i</w:t>
      </w:r>
      <w:proofErr w:type="spellEnd"/>
      <w:r>
        <w:t xml:space="preserve"> </w:t>
      </w:r>
      <w:proofErr w:type="spellStart"/>
      <w:r>
        <w:t>Nur</w:t>
      </w:r>
      <w:proofErr w:type="spellEnd"/>
      <w:r>
        <w:t>.  We shall suffice with only one or two examples:</w:t>
      </w:r>
    </w:p>
    <w:p w:rsidR="00616AC5" w:rsidRPr="00616AC5" w:rsidRDefault="00616AC5" w:rsidP="00616AC5">
      <w:pPr>
        <w:pStyle w:val="Alntlar"/>
      </w:pPr>
      <w:r w:rsidRPr="00616AC5">
        <w:t>All attainments and perfections, all learning, all progress, and all sciences, have an elevated reality which is based on one of the Divine Names.  On being based on the Name, which is concealed under numerous veils and has various manifestations and different spheres, the sciences and arts and attainments find their perfection and become reality.  And this is not some i</w:t>
      </w:r>
      <w:r>
        <w:t>ncomplete and deficient shadow.</w:t>
      </w:r>
      <w:r w:rsidR="00D16F51">
        <w:rPr>
          <w:rStyle w:val="DipnotBavurusu"/>
        </w:rPr>
        <w:footnoteReference w:id="5"/>
      </w:r>
    </w:p>
    <w:p w:rsidR="00616AC5" w:rsidRDefault="00616AC5" w:rsidP="00616AC5">
      <w:pPr>
        <w:pStyle w:val="Maintext"/>
      </w:pPr>
      <w:r>
        <w:t xml:space="preserve">It is for this reason that </w:t>
      </w:r>
      <w:proofErr w:type="spellStart"/>
      <w:r>
        <w:t>Ustadh</w:t>
      </w:r>
      <w:proofErr w:type="spellEnd"/>
      <w:r>
        <w:t xml:space="preserve"> is describing the </w:t>
      </w:r>
      <w:proofErr w:type="spellStart"/>
      <w:r>
        <w:t>Risale-i</w:t>
      </w:r>
      <w:proofErr w:type="spellEnd"/>
      <w:r>
        <w:t xml:space="preserve"> </w:t>
      </w:r>
      <w:proofErr w:type="spellStart"/>
      <w:r>
        <w:t>Nur</w:t>
      </w:r>
      <w:proofErr w:type="spellEnd"/>
      <w:r>
        <w:t xml:space="preserve"> as “not only scholarly matters pertaining to the intellect, they are rather matters of belief which pertain to the heart, the spirit, and spiritual states” stems from their being of </w:t>
      </w:r>
      <w:proofErr w:type="spellStart"/>
      <w:r>
        <w:t>tablîgh</w:t>
      </w:r>
      <w:proofErr w:type="spellEnd"/>
      <w:r>
        <w:t xml:space="preserve"> knowledge. </w:t>
      </w:r>
      <w:proofErr w:type="spellStart"/>
      <w:r>
        <w:t>Tablîgh</w:t>
      </w:r>
      <w:proofErr w:type="spellEnd"/>
      <w:r>
        <w:t xml:space="preserve"> knowledge arising directly from the Qur’an in this way expresses a further characteristic:</w:t>
      </w:r>
    </w:p>
    <w:p w:rsidR="00616AC5" w:rsidRDefault="00616AC5" w:rsidP="00D16F51">
      <w:pPr>
        <w:pStyle w:val="Alntlar"/>
      </w:pPr>
      <w:r>
        <w:t>… the truths and perfections in the Words are not mine; they are the Qur’an’s and they have issued from the Qur’an. The Tenth Word, for instance, consists of a few droplets filtered from hundreds of verses.  The rest of t</w:t>
      </w:r>
      <w:r w:rsidR="00D16F51">
        <w:t>he treatises are all like that.</w:t>
      </w:r>
      <w:r w:rsidR="00D16F51">
        <w:rPr>
          <w:rStyle w:val="DipnotBavurusu"/>
        </w:rPr>
        <w:footnoteReference w:id="6"/>
      </w:r>
    </w:p>
    <w:p w:rsidR="00616AC5" w:rsidRDefault="00616AC5" w:rsidP="00616AC5">
      <w:pPr>
        <w:pStyle w:val="Maintext"/>
      </w:pPr>
      <w:proofErr w:type="spellStart"/>
      <w:r>
        <w:t>Tablîgh</w:t>
      </w:r>
      <w:proofErr w:type="spellEnd"/>
      <w:r>
        <w:t xml:space="preserve"> knowledge is also ‘renewal’ (</w:t>
      </w:r>
      <w:proofErr w:type="spellStart"/>
      <w:r>
        <w:t>tecdid</w:t>
      </w:r>
      <w:proofErr w:type="spellEnd"/>
      <w:r>
        <w:t>), so the one representing this knowledge is a ‘</w:t>
      </w:r>
      <w:proofErr w:type="spellStart"/>
      <w:r>
        <w:t>renewer</w:t>
      </w:r>
      <w:proofErr w:type="spellEnd"/>
      <w:r>
        <w:t xml:space="preserve">’ or ‘regenerator.’ Renewal is the restatement of the truths of revelation without their being changed, on the level of and in the style of the sciences of the century in question.  That is to say, ‘renewal’ is not ‘change’ or ‘substitution’; it is merely expression of the truth in conformity with the understanding of the age.  But of course it means that the truth expressed in this way will be renewed in some respects.  In consequence of this renewal, knowledge which </w:t>
      </w:r>
      <w:r>
        <w:lastRenderedPageBreak/>
        <w:t xml:space="preserve">had become inadequate and therefore ineffective is once again made adequate and effective.  We observe this characteristic of renewal clearly in the </w:t>
      </w:r>
      <w:proofErr w:type="spellStart"/>
      <w:r>
        <w:t>Risale-i</w:t>
      </w:r>
      <w:proofErr w:type="spellEnd"/>
      <w:r>
        <w:t xml:space="preserve"> </w:t>
      </w:r>
      <w:proofErr w:type="spellStart"/>
      <w:r>
        <w:t>Nur</w:t>
      </w:r>
      <w:proofErr w:type="spellEnd"/>
      <w:r>
        <w:t>:</w:t>
      </w:r>
    </w:p>
    <w:p w:rsidR="00616AC5" w:rsidRDefault="00616AC5" w:rsidP="00D16F51">
      <w:pPr>
        <w:pStyle w:val="Alntlar"/>
      </w:pPr>
      <w:r>
        <w:t xml:space="preserve">Furthermore, the great majority of the works that have been written, the treatises, have been bestowed instantaneously and suddenly in consequence of some need born in spirit, not from any outside cause. Then when afterwards I have shown them to some friends, they have said that they are the remedy for the wounds of the present time.  After they have been disseminated, I have understood from most of my brothers that they meet the needs of the times exactly and are like a cure for every ill. </w:t>
      </w:r>
    </w:p>
    <w:p w:rsidR="00616AC5" w:rsidRDefault="00616AC5" w:rsidP="00D16F51">
      <w:pPr>
        <w:pStyle w:val="Alntlar"/>
      </w:pPr>
      <w:r>
        <w:t xml:space="preserve">Formerly, the fundamentals of belief were protected, submission was strong. Even if the intuitive knowledge of those with knowledge of God lacked proof, their expositions were acceptable and sufficient.  But at this time, since the misguidance of science has stretched out its hand to the fundamentals and pillars of belief, the All-Wise and Compassionate One of Glory, </w:t>
      </w:r>
      <w:proofErr w:type="gramStart"/>
      <w:r>
        <w:t>Who</w:t>
      </w:r>
      <w:proofErr w:type="gramEnd"/>
      <w:r>
        <w:t xml:space="preserve"> bestows a remedy for every ill, in consequence of my impotence and weakness, want and need, mercifully bestowed in these writings of mine which serve the Qur’an a single ray from the comparisons of the Noble Qur’an, which are a most brilliant manifestation of its </w:t>
      </w:r>
      <w:proofErr w:type="spellStart"/>
      <w:r>
        <w:t>miraculousness</w:t>
      </w:r>
      <w:proofErr w:type="spellEnd"/>
      <w:r>
        <w:t>….</w:t>
      </w:r>
    </w:p>
    <w:p w:rsidR="00616AC5" w:rsidRDefault="00616AC5" w:rsidP="00D16F51">
      <w:pPr>
        <w:pStyle w:val="Alntlar"/>
      </w:pPr>
      <w:r>
        <w:t xml:space="preserve">In Short: Whatever beauty and effectiveness are found in my writings, they are only flashes of the Qur’anic comparisons.  My share was only my intense need and my seeking, and my extreme impotence and my beseeching.  The ill is mine, and the cure, the Qur’an’s. </w:t>
      </w:r>
    </w:p>
    <w:p w:rsidR="00616AC5" w:rsidRDefault="00616AC5" w:rsidP="00D16F51">
      <w:pPr>
        <w:pStyle w:val="Alntlar"/>
      </w:pPr>
      <w:r>
        <w:t xml:space="preserve">Most of the poetry of the blessed persons of that time, and some of the works of the religious scholars, discuss the results, fruits, and </w:t>
      </w:r>
      <w:proofErr w:type="spellStart"/>
      <w:r>
        <w:t>effulgences</w:t>
      </w:r>
      <w:proofErr w:type="spellEnd"/>
      <w:r>
        <w:t xml:space="preserve"> of the belief and knowledge of God.  In their time, there was no attack on the fundamentals of belief, and the pillars of faith were not being shaken. Now, however, there is a severe and concerted attack on the fundamentals. Most of the poetry and those scholarly works addressed particular believers and individuals; they were not repulsing the awesome assaults of this age. As for the </w:t>
      </w:r>
      <w:proofErr w:type="spellStart"/>
      <w:r>
        <w:t>Risale-i</w:t>
      </w:r>
      <w:proofErr w:type="spellEnd"/>
      <w:r>
        <w:t xml:space="preserve"> </w:t>
      </w:r>
      <w:proofErr w:type="spellStart"/>
      <w:r>
        <w:t>Nur</w:t>
      </w:r>
      <w:proofErr w:type="spellEnd"/>
      <w:r>
        <w:t xml:space="preserve">, as a miracle of the Qur’an, it saves the fundamentals of belief, and not benefiting from existent belief, assists through its many and brilliant proofs, in demonstrating, proving, and preserving belief, and the saving it from doubts and skepticism. For this reason, those who study it carefully declare that everyone has need of it at this time, like [they have for] bread and medicine… Also, the </w:t>
      </w:r>
      <w:proofErr w:type="spellStart"/>
      <w:r>
        <w:t>Risale-i</w:t>
      </w:r>
      <w:proofErr w:type="spellEnd"/>
      <w:r>
        <w:t xml:space="preserve"> </w:t>
      </w:r>
      <w:proofErr w:type="spellStart"/>
      <w:r>
        <w:t>Nur</w:t>
      </w:r>
      <w:proofErr w:type="spellEnd"/>
      <w:r>
        <w:t xml:space="preserve"> does not only teach with the feet and eye of the reason like the works of other scholars, nor does it only move with the illuminations and inspirations of the heart like the saints, it rather flies to the loftiest peaks by progressing with the feet of the uniting of the reason and heart, and assistance of the spirit and other subtle faculties.  It rises to places that not the feet, but the eye of aggressive philosophy cannot reach, and demonstrates the truths of beli</w:t>
      </w:r>
      <w:r w:rsidR="00D16F51">
        <w:t>ef to eyes that are blind even.</w:t>
      </w:r>
      <w:r w:rsidR="00D16F51">
        <w:rPr>
          <w:rStyle w:val="DipnotBavurusu"/>
        </w:rPr>
        <w:footnoteReference w:id="7"/>
      </w:r>
    </w:p>
    <w:p w:rsidR="00616AC5" w:rsidRDefault="00616AC5" w:rsidP="00616AC5">
      <w:pPr>
        <w:pStyle w:val="Maintext"/>
      </w:pPr>
      <w:r>
        <w:t xml:space="preserve">As may be understood from our explanations, </w:t>
      </w:r>
      <w:proofErr w:type="spellStart"/>
      <w:r>
        <w:t>tablîgh</w:t>
      </w:r>
      <w:proofErr w:type="spellEnd"/>
      <w:r>
        <w:t xml:space="preserve"> knowledge forms the basis of Islam being reflected in life.  Our demonstrating that the </w:t>
      </w:r>
      <w:proofErr w:type="spellStart"/>
      <w:r>
        <w:t>Risale-i</w:t>
      </w:r>
      <w:proofErr w:type="spellEnd"/>
      <w:r>
        <w:t xml:space="preserve"> </w:t>
      </w:r>
      <w:proofErr w:type="spellStart"/>
      <w:r>
        <w:t>Nur</w:t>
      </w:r>
      <w:proofErr w:type="spellEnd"/>
      <w:r>
        <w:t xml:space="preserve"> has to be knowledge of this sort is also an indication of its existence and that is why it is using the Qur’anic approach in relating human beings to knowledge. Therefore, I have not considered it necessary to examine it in detail from this point of view. Moreover, in Islamic history, there have been works that may be placed in this category, the best examples of which are Abu </w:t>
      </w:r>
      <w:proofErr w:type="spellStart"/>
      <w:r>
        <w:t>Talib</w:t>
      </w:r>
      <w:proofErr w:type="spellEnd"/>
      <w:r>
        <w:t xml:space="preserve"> al-</w:t>
      </w:r>
      <w:proofErr w:type="spellStart"/>
      <w:r>
        <w:t>Makki’s</w:t>
      </w:r>
      <w:proofErr w:type="spellEnd"/>
      <w:r>
        <w:t xml:space="preserve"> </w:t>
      </w:r>
      <w:proofErr w:type="spellStart"/>
      <w:r w:rsidR="00D16F51">
        <w:rPr>
          <w:i/>
        </w:rPr>
        <w:t>Qû</w:t>
      </w:r>
      <w:r w:rsidRPr="00D16F51">
        <w:rPr>
          <w:i/>
        </w:rPr>
        <w:t>t</w:t>
      </w:r>
      <w:proofErr w:type="spellEnd"/>
      <w:r w:rsidRPr="00D16F51">
        <w:rPr>
          <w:i/>
        </w:rPr>
        <w:t xml:space="preserve"> al-</w:t>
      </w:r>
      <w:proofErr w:type="spellStart"/>
      <w:r w:rsidRPr="00D16F51">
        <w:rPr>
          <w:i/>
        </w:rPr>
        <w:t>Qulub</w:t>
      </w:r>
      <w:proofErr w:type="spellEnd"/>
      <w:r>
        <w:t xml:space="preserve"> and </w:t>
      </w:r>
      <w:proofErr w:type="spellStart"/>
      <w:r>
        <w:t>Ghazzali’s</w:t>
      </w:r>
      <w:proofErr w:type="spellEnd"/>
      <w:r>
        <w:t xml:space="preserve"> </w:t>
      </w:r>
      <w:proofErr w:type="spellStart"/>
      <w:r w:rsidRPr="00D16F51">
        <w:rPr>
          <w:i/>
        </w:rPr>
        <w:t>Ihya</w:t>
      </w:r>
      <w:proofErr w:type="spellEnd"/>
      <w:r w:rsidRPr="00D16F51">
        <w:rPr>
          <w:i/>
        </w:rPr>
        <w:t xml:space="preserve"> ‘</w:t>
      </w:r>
      <w:proofErr w:type="spellStart"/>
      <w:r w:rsidRPr="00D16F51">
        <w:rPr>
          <w:i/>
        </w:rPr>
        <w:t>Ulum</w:t>
      </w:r>
      <w:proofErr w:type="spellEnd"/>
      <w:r w:rsidRPr="00D16F51">
        <w:rPr>
          <w:i/>
        </w:rPr>
        <w:t xml:space="preserve"> al-Din</w:t>
      </w:r>
      <w:r>
        <w:t xml:space="preserve">. Such books do not follow the philosophical approach, not even the </w:t>
      </w:r>
      <w:proofErr w:type="spellStart"/>
      <w:r>
        <w:t>kalam</w:t>
      </w:r>
      <w:proofErr w:type="spellEnd"/>
      <w:r>
        <w:t xml:space="preserve"> approach both of which develop a scholarly method to convey knowledge. But the </w:t>
      </w:r>
      <w:proofErr w:type="spellStart"/>
      <w:r>
        <w:t>Rasâil</w:t>
      </w:r>
      <w:proofErr w:type="spellEnd"/>
      <w:r>
        <w:t xml:space="preserve"> is using the </w:t>
      </w:r>
      <w:proofErr w:type="spellStart"/>
      <w:r>
        <w:t>tabligh</w:t>
      </w:r>
      <w:proofErr w:type="spellEnd"/>
      <w:r>
        <w:t xml:space="preserve"> approach as this is clarified in the following statements:</w:t>
      </w:r>
    </w:p>
    <w:p w:rsidR="00616AC5" w:rsidRDefault="00616AC5" w:rsidP="00D16F51">
      <w:pPr>
        <w:pStyle w:val="Alntlar"/>
      </w:pPr>
      <w:r>
        <w:lastRenderedPageBreak/>
        <w:t xml:space="preserve">Yes, the knowledge of God gained by means of theology does not afford a complete knowledge and a complete sense of the Divine presence.  However, when gained in accordance with the method of the Qur’an of Miraculous Exposition, it affords both complete knowledge and gains a total sense of the Divine presence.  God willing, all the parts of the </w:t>
      </w:r>
      <w:proofErr w:type="spellStart"/>
      <w:r>
        <w:t>Risale-i</w:t>
      </w:r>
      <w:proofErr w:type="spellEnd"/>
      <w:r>
        <w:t xml:space="preserve"> </w:t>
      </w:r>
      <w:proofErr w:type="spellStart"/>
      <w:r>
        <w:t>Nur</w:t>
      </w:r>
      <w:proofErr w:type="spellEnd"/>
      <w:r>
        <w:t xml:space="preserve"> perform the duty of an electric lamp on that light-filled highway of the Qur’an of Miraculo</w:t>
      </w:r>
      <w:r w:rsidR="00D16F51">
        <w:t>us Exposition.</w:t>
      </w:r>
    </w:p>
    <w:p w:rsidR="00616AC5" w:rsidRDefault="00616AC5" w:rsidP="00D16F51">
      <w:pPr>
        <w:pStyle w:val="Alntlar"/>
      </w:pPr>
      <w:r>
        <w:t xml:space="preserve">The Words that have been written are not supposition, they are affirmation; they are not submission, they are belief; they are not intuitive knowledge, they are a testifying and witnessing; they are not imitating, they are verification; they are not taking the part of something, they are exercise of the mind; they are not Sufism; they are reality; they are not a claim, they </w:t>
      </w:r>
      <w:r w:rsidR="00D16F51">
        <w:t>are the proof within the claim.</w:t>
      </w:r>
    </w:p>
    <w:p w:rsidR="00616AC5" w:rsidRDefault="00616AC5" w:rsidP="00D16F51">
      <w:pPr>
        <w:pStyle w:val="Alntlar"/>
      </w:pPr>
      <w:r>
        <w:t xml:space="preserve">The </w:t>
      </w:r>
      <w:proofErr w:type="spellStart"/>
      <w:r>
        <w:t>Risale-i</w:t>
      </w:r>
      <w:proofErr w:type="spellEnd"/>
      <w:r>
        <w:t xml:space="preserve"> </w:t>
      </w:r>
      <w:proofErr w:type="spellStart"/>
      <w:r>
        <w:t>Nur</w:t>
      </w:r>
      <w:proofErr w:type="spellEnd"/>
      <w:r>
        <w:t xml:space="preserve"> is not only repairing some minor damage or some small house; it is repairing vast damage and the all-embracing citadel which contains Islam, the stones of which are the size of mountains.  And it is not striving to reform only a private heart and an individual conscience; it is striving to cure with the medicines of the Qur’an and belief and the Qur’an’s </w:t>
      </w:r>
      <w:proofErr w:type="spellStart"/>
      <w:r>
        <w:t>miraculousness</w:t>
      </w:r>
      <w:proofErr w:type="spellEnd"/>
      <w:r>
        <w:t xml:space="preserve"> the collective heart and generally-held ideas, which have been breached in awesome fashion by the tools of corruption prepared and stored up over a thousand years, and the general conscience, which is facing corruption through the destruction of the foundations, currents, and marks of Islam which are the refuge of all and particularly the mass of believers.</w:t>
      </w:r>
    </w:p>
    <w:p w:rsidR="00D60B70" w:rsidRDefault="00616AC5" w:rsidP="00D16F51">
      <w:pPr>
        <w:pStyle w:val="Alntlar"/>
      </w:pPr>
      <w:r>
        <w:t xml:space="preserve">Certainly, for such universal breaches and awesome wounds, proofs and equipment of the utmost certitude and the strength of mountains, and well-proven medicines and numberless drugs of the effectiveness of a thousand remedies are necessary.  Emerging at this time from the </w:t>
      </w:r>
      <w:proofErr w:type="spellStart"/>
      <w:r>
        <w:t>miraculousness</w:t>
      </w:r>
      <w:proofErr w:type="spellEnd"/>
      <w:r>
        <w:t xml:space="preserve"> of the Qur’an of Miraculous Exposition, the </w:t>
      </w:r>
      <w:proofErr w:type="spellStart"/>
      <w:r>
        <w:t>Risale-i</w:t>
      </w:r>
      <w:proofErr w:type="spellEnd"/>
      <w:r>
        <w:t xml:space="preserve"> </w:t>
      </w:r>
      <w:proofErr w:type="spellStart"/>
      <w:r>
        <w:t>Nur</w:t>
      </w:r>
      <w:proofErr w:type="spellEnd"/>
      <w:r>
        <w:t xml:space="preserve"> performs this function, and is also the means of advancing and progressing through the infinite degrees of belief.</w:t>
      </w:r>
      <w:r w:rsidR="00D16F51">
        <w:rPr>
          <w:rStyle w:val="DipnotBavurusu"/>
        </w:rPr>
        <w:footnoteReference w:id="8"/>
      </w:r>
    </w:p>
    <w:p w:rsidR="00D60B70" w:rsidRPr="00D16F51" w:rsidRDefault="00D16F51" w:rsidP="00D60B70">
      <w:pPr>
        <w:pStyle w:val="Maintext"/>
        <w:rPr>
          <w:b/>
        </w:rPr>
      </w:pPr>
      <w:r w:rsidRPr="00D16F51">
        <w:rPr>
          <w:b/>
          <w:lang w:val="tr-TR"/>
        </w:rPr>
        <w:t>HUMAN NATURE ACCORDING TO NURSI</w:t>
      </w:r>
    </w:p>
    <w:p w:rsidR="00D60B70" w:rsidRPr="0021290C" w:rsidRDefault="00D16F51" w:rsidP="00D16F51">
      <w:pPr>
        <w:pStyle w:val="Maintext"/>
      </w:pPr>
      <w:proofErr w:type="spellStart"/>
      <w:r w:rsidRPr="0021290C">
        <w:t>Nursi’s</w:t>
      </w:r>
      <w:proofErr w:type="spellEnd"/>
      <w:r w:rsidRPr="0021290C">
        <w:t xml:space="preserve"> understanding of human nature is primarily based on the following verse, besides others in the Qur’an: “Surely We created the human being (</w:t>
      </w:r>
      <w:proofErr w:type="spellStart"/>
      <w:r w:rsidRPr="0021290C">
        <w:t>insân</w:t>
      </w:r>
      <w:proofErr w:type="spellEnd"/>
      <w:r w:rsidRPr="0021290C">
        <w:t xml:space="preserve">) in the best constitution (nature). Then We reduced him to the lowest level; except those who believe and do good work. There is for them a reward unfailing.” (95/al-Tin, 4-6) </w:t>
      </w:r>
      <w:proofErr w:type="spellStart"/>
      <w:r w:rsidRPr="0021290C">
        <w:t>Nursi</w:t>
      </w:r>
      <w:proofErr w:type="spellEnd"/>
      <w:r w:rsidRPr="0021290C">
        <w:t xml:space="preserve"> thus declares that humans have two main aspects embedded into their nature, as stated in the Qur’an (91/al-Shams, 7-10): One, concerning his ego, looks to the life of this World; and the other, concerning worship and servitude to God, looks to an eternal life. In respect to the first aspect he is a wretched creature whose possessions consist of a will which he has only a partial power; of a choice like a hair; of power, a weak ability to acquire; of life, which is like a fast dying flame; of a life-span, which is a fleeting brief spell; and of a being, which is only a swiftly decaying small body. Together with this, he is one delicate, weak individual out of the innumerable individuals of the numberless varieties of beings dispersed through the levels of the universe.</w:t>
      </w:r>
      <w:r w:rsidR="0021290C">
        <w:rPr>
          <w:rStyle w:val="DipnotBavurusu"/>
        </w:rPr>
        <w:footnoteReference w:id="9"/>
      </w:r>
    </w:p>
    <w:p w:rsidR="00D16F51" w:rsidRDefault="0021290C" w:rsidP="0021290C">
      <w:pPr>
        <w:pStyle w:val="Alntlar"/>
      </w:pPr>
      <w:r w:rsidRPr="0021290C">
        <w:t xml:space="preserve">In respect of the second aspect which refers to his impotence and poverty, yet at the same time turned towards worship, a human has truly great breadth and vast importance. For the All-Wise Creator has included in man’s nature an infinitely vast impotence and </w:t>
      </w:r>
      <w:r w:rsidRPr="0021290C">
        <w:lastRenderedPageBreak/>
        <w:t>boundlessly huge poverty, so that he can be an extensive mirror containing the innumerable manifestations of an All-Powerful and Compassionate One Whose power is infinite, an All-Generous All-Rich One Whose wealth is boundless.</w:t>
      </w:r>
    </w:p>
    <w:p w:rsidR="0021290C" w:rsidRPr="0021290C" w:rsidRDefault="0021290C" w:rsidP="0021290C">
      <w:pPr>
        <w:pStyle w:val="Maintext"/>
      </w:pPr>
      <w:r w:rsidRPr="0021290C">
        <w:t xml:space="preserve">It is for this reason that </w:t>
      </w:r>
      <w:proofErr w:type="spellStart"/>
      <w:r w:rsidRPr="0021290C">
        <w:t>Nursi</w:t>
      </w:r>
      <w:proofErr w:type="spellEnd"/>
      <w:r w:rsidRPr="0021290C">
        <w:t xml:space="preserve"> referred to Islam as “the greater humanism” (al-</w:t>
      </w:r>
      <w:proofErr w:type="spellStart"/>
      <w:r w:rsidRPr="0021290C">
        <w:t>insaniyyat</w:t>
      </w:r>
      <w:proofErr w:type="spellEnd"/>
      <w:r w:rsidRPr="0021290C">
        <w:t xml:space="preserve"> al-</w:t>
      </w:r>
      <w:proofErr w:type="spellStart"/>
      <w:r w:rsidRPr="0021290C">
        <w:t>kubrah</w:t>
      </w:r>
      <w:proofErr w:type="spellEnd"/>
      <w:r w:rsidRPr="0021290C">
        <w:t xml:space="preserve">). We should try to understand this conclusion on the basis of the Qur’anic weltanschauung. In order to understand how </w:t>
      </w:r>
      <w:proofErr w:type="spellStart"/>
      <w:r w:rsidRPr="0021290C">
        <w:t>Nursi</w:t>
      </w:r>
      <w:proofErr w:type="spellEnd"/>
      <w:r w:rsidRPr="0021290C">
        <w:t xml:space="preserve"> develops the Qur’anic idea of human spirituality we need to analyze psychological states of human personality; for, the Qur’an deeply analyzes the inner self of the individual so that his “heart” (</w:t>
      </w:r>
      <w:proofErr w:type="spellStart"/>
      <w:r w:rsidRPr="0021290C">
        <w:t>qalb</w:t>
      </w:r>
      <w:proofErr w:type="spellEnd"/>
      <w:r w:rsidRPr="0021290C">
        <w:t xml:space="preserve">) becomes transparent to himself. In this analysis all evil feelings are laid bare before the person so that he can be attentive to the Truth, because it is those evil feelings that block his mind to understand and passionately appreciate the Truth. </w:t>
      </w:r>
      <w:proofErr w:type="spellStart"/>
      <w:r w:rsidRPr="0021290C">
        <w:t>Nursi’s</w:t>
      </w:r>
      <w:proofErr w:type="spellEnd"/>
      <w:r w:rsidRPr="0021290C">
        <w:t xml:space="preserve"> elaboration develops on the basis of the Qur’anic weltanschauung, as seen in these verses.</w:t>
      </w:r>
    </w:p>
    <w:p w:rsidR="0021290C" w:rsidRPr="0021290C" w:rsidRDefault="0021290C" w:rsidP="0021290C">
      <w:pPr>
        <w:pStyle w:val="Alntlar"/>
      </w:pPr>
      <w:r w:rsidRPr="0021290C">
        <w:t>Man is by nature unstable; when misfortune touches him he panics and when good things come his way, he prevents them from reaching others. (70/al-</w:t>
      </w:r>
      <w:proofErr w:type="spellStart"/>
      <w:proofErr w:type="gramStart"/>
      <w:r w:rsidRPr="0021290C">
        <w:t>Ma‘</w:t>
      </w:r>
      <w:proofErr w:type="gramEnd"/>
      <w:r w:rsidRPr="0021290C">
        <w:t>ârij</w:t>
      </w:r>
      <w:proofErr w:type="spellEnd"/>
      <w:r w:rsidRPr="0021290C">
        <w:t>, 19- 21)</w:t>
      </w:r>
    </w:p>
    <w:p w:rsidR="0021290C" w:rsidRPr="0021290C" w:rsidRDefault="0021290C" w:rsidP="0021290C">
      <w:pPr>
        <w:pStyle w:val="Alntlar"/>
      </w:pPr>
      <w:r w:rsidRPr="0021290C">
        <w:t>Human personality has been permeated with greed or selfishness (hence be attentive against this nature of your personality). (4/al-</w:t>
      </w:r>
      <w:proofErr w:type="spellStart"/>
      <w:r w:rsidRPr="0021290C">
        <w:t>Nisâ</w:t>
      </w:r>
      <w:proofErr w:type="spellEnd"/>
      <w:r w:rsidRPr="0021290C">
        <w:t>’, 128)</w:t>
      </w:r>
    </w:p>
    <w:p w:rsidR="0021290C" w:rsidRPr="0021290C" w:rsidRDefault="0021290C" w:rsidP="0021290C">
      <w:pPr>
        <w:pStyle w:val="Alntlar"/>
      </w:pPr>
      <w:r w:rsidRPr="0021290C">
        <w:t>The one, who makes his personality pure, shall be successful, while the one who corrupts it shall be in the loss.  (91/al-Shams, 9-10)</w:t>
      </w:r>
    </w:p>
    <w:p w:rsidR="0021290C" w:rsidRPr="0021290C" w:rsidRDefault="0021290C" w:rsidP="0021290C">
      <w:pPr>
        <w:pStyle w:val="Alntlar"/>
      </w:pPr>
      <w:r w:rsidRPr="0021290C">
        <w:t>The successful are those who can save themselves from their own selfish personality. (59/al-</w:t>
      </w:r>
      <w:proofErr w:type="spellStart"/>
      <w:r w:rsidRPr="0021290C">
        <w:t>Hashr</w:t>
      </w:r>
      <w:proofErr w:type="spellEnd"/>
      <w:r w:rsidRPr="0021290C">
        <w:t>, 9)</w:t>
      </w:r>
    </w:p>
    <w:p w:rsidR="0021290C" w:rsidRDefault="0021290C" w:rsidP="0021290C">
      <w:pPr>
        <w:pStyle w:val="Alntlar"/>
      </w:pPr>
      <w:r w:rsidRPr="00F15747">
        <w:t>Nay! But you love the immediate (i.e., the present life) and abandon the distant (</w:t>
      </w:r>
      <w:proofErr w:type="spellStart"/>
      <w:r w:rsidRPr="00F15747">
        <w:t>i</w:t>
      </w:r>
      <w:proofErr w:type="spellEnd"/>
      <w:r w:rsidRPr="00F15747">
        <w:t>. e., the Hereafter). (75/al-</w:t>
      </w:r>
      <w:proofErr w:type="spellStart"/>
      <w:r w:rsidRPr="00F15747">
        <w:t>Qiyamah</w:t>
      </w:r>
      <w:proofErr w:type="spellEnd"/>
      <w:r w:rsidRPr="00F15747">
        <w:t>, 20)</w:t>
      </w:r>
    </w:p>
    <w:p w:rsidR="00F15747" w:rsidRPr="00F15747" w:rsidRDefault="00F15747" w:rsidP="0021290C">
      <w:pPr>
        <w:pStyle w:val="Alntlar"/>
      </w:pPr>
      <w:r w:rsidRPr="00F15747">
        <w:t>We have honored the children of Adam, provided them transport on land and sea, given them for sustenance good and pure food and conferred upon them special favor above many of our creation. (17/Al-</w:t>
      </w:r>
      <w:proofErr w:type="spellStart"/>
      <w:r w:rsidRPr="00F15747">
        <w:t>Isra</w:t>
      </w:r>
      <w:proofErr w:type="spellEnd"/>
      <w:r w:rsidRPr="00F15747">
        <w:t>’, 70)</w:t>
      </w:r>
    </w:p>
    <w:p w:rsidR="004E1D1D" w:rsidRPr="00F15747" w:rsidRDefault="00F15747" w:rsidP="00F15747">
      <w:pPr>
        <w:pStyle w:val="Maintext"/>
      </w:pPr>
      <w:r w:rsidRPr="00F15747">
        <w:t>The children of Adam are honored with two “gifts”, in fact two spiritual gifts: A human nature; which, if rightly, used can overcome the weaknesses of the animal nature; the other is the “guidance” provided by religion as a favor of God to show us how we can overcome the weaknesses of our animal aspects.</w:t>
      </w:r>
      <w:r>
        <w:t xml:space="preserve"> </w:t>
      </w:r>
      <w:r w:rsidRPr="00F15747">
        <w:t>When this guidance is neglected, a state of mind or a disposition that is guided by our animal nature rules supreme. Violence and many other unjust acts are just some among the results of this negligence. This also leads to only reflection based upon our senses and intellect which are devoid of spirituality.</w:t>
      </w:r>
      <w:r>
        <w:t xml:space="preserve"> </w:t>
      </w:r>
      <w:r w:rsidRPr="00F15747">
        <w:t xml:space="preserve">We must, on the other hand, explain what </w:t>
      </w:r>
      <w:proofErr w:type="spellStart"/>
      <w:r w:rsidRPr="00F15747">
        <w:t>Nursi</w:t>
      </w:r>
      <w:proofErr w:type="spellEnd"/>
      <w:r w:rsidRPr="00F15747">
        <w:t xml:space="preserve"> means by guidance, as this is a significant Islamic concept also. He thinks that Divine guidance comes through revelation to His Prophets, or Messengers who in turn teach this divine revelation to h</w:t>
      </w:r>
      <w:r>
        <w:t xml:space="preserve">uman beings in their community. </w:t>
      </w:r>
      <w:r w:rsidRPr="00F15747">
        <w:t>Since there is teaching involved in this guidance then at the foundation of guidance is knowledge.</w:t>
      </w:r>
      <w:r>
        <w:t xml:space="preserve"> But according to </w:t>
      </w:r>
      <w:proofErr w:type="spellStart"/>
      <w:r>
        <w:t>Nursi</w:t>
      </w:r>
      <w:proofErr w:type="spellEnd"/>
      <w:r>
        <w:t xml:space="preserve">, knowledge is of two kinds: </w:t>
      </w:r>
      <w:r w:rsidRPr="00F15747">
        <w:t xml:space="preserve">There is one kind of knowledge which will suffice, if it is grasped once and reflected upon a few times. But there is another kind of knowledge which is </w:t>
      </w:r>
      <w:r w:rsidRPr="00F15747">
        <w:lastRenderedPageBreak/>
        <w:t>like nutrition and water; man constantly needs to reflect upon it. He cannot say: ‘I have grasped it once and that is sufficient.’ The sciences of belief (</w:t>
      </w:r>
      <w:proofErr w:type="spellStart"/>
      <w:r w:rsidRPr="00F15747">
        <w:t>ulûm</w:t>
      </w:r>
      <w:proofErr w:type="spellEnd"/>
      <w:r w:rsidRPr="00F15747">
        <w:t xml:space="preserve">-u </w:t>
      </w:r>
      <w:proofErr w:type="spellStart"/>
      <w:r w:rsidRPr="00F15747">
        <w:t>îmâniye</w:t>
      </w:r>
      <w:proofErr w:type="spellEnd"/>
      <w:r w:rsidRPr="00F15747">
        <w:t xml:space="preserve">) are of this second kind. The </w:t>
      </w:r>
      <w:proofErr w:type="spellStart"/>
      <w:r w:rsidRPr="00F15747">
        <w:rPr>
          <w:i/>
        </w:rPr>
        <w:t>Rasâ’il</w:t>
      </w:r>
      <w:proofErr w:type="spellEnd"/>
      <w:r w:rsidRPr="00F15747">
        <w:t xml:space="preserve"> are mostly, God-willing, belong to this kind.</w:t>
      </w:r>
      <w:r>
        <w:rPr>
          <w:rStyle w:val="DipnotBavurusu"/>
        </w:rPr>
        <w:footnoteReference w:id="10"/>
      </w:r>
      <w:r>
        <w:t xml:space="preserve"> We may ask a question to </w:t>
      </w:r>
      <w:proofErr w:type="spellStart"/>
      <w:r>
        <w:t>Nursi</w:t>
      </w:r>
      <w:proofErr w:type="spellEnd"/>
      <w:r>
        <w:t xml:space="preserve">, why and how the </w:t>
      </w:r>
      <w:proofErr w:type="spellStart"/>
      <w:r>
        <w:rPr>
          <w:i/>
        </w:rPr>
        <w:t>Rasâil</w:t>
      </w:r>
      <w:proofErr w:type="spellEnd"/>
      <w:r>
        <w:t xml:space="preserve"> are given this position?</w:t>
      </w:r>
    </w:p>
    <w:p w:rsidR="00F15747" w:rsidRPr="00F15747" w:rsidRDefault="00F15747" w:rsidP="00F15747">
      <w:pPr>
        <w:pStyle w:val="Alntlar"/>
      </w:pPr>
      <w:r w:rsidRPr="00F15747">
        <w:t>Man came to this world to be perfected by means of knowledge and supplication. In regard to his nature and abilities everything is tied to knowledge. And the foundation, source, light, and spirit of all true knowledge is knowledge of God (</w:t>
      </w:r>
      <w:proofErr w:type="spellStart"/>
      <w:r w:rsidRPr="00F15747">
        <w:t>ma‘rifetullâh</w:t>
      </w:r>
      <w:proofErr w:type="spellEnd"/>
      <w:r w:rsidRPr="00F15747">
        <w:t>), and its essence and basis is belief in God.</w:t>
      </w:r>
      <w:r>
        <w:rPr>
          <w:rStyle w:val="DipnotBavurusu"/>
        </w:rPr>
        <w:footnoteReference w:id="11"/>
      </w:r>
    </w:p>
    <w:p w:rsidR="00F15747" w:rsidRDefault="00F15747" w:rsidP="00F15747">
      <w:pPr>
        <w:pStyle w:val="Maintext"/>
      </w:pPr>
      <w:r>
        <w:t>I</w:t>
      </w:r>
      <w:r w:rsidRPr="00F15747">
        <w:t xml:space="preserve">n that case thinking through the heart is a kind of reflection which will bring about human spiritual dimension to daylight and this will be reflected on the society. </w:t>
      </w:r>
      <w:r>
        <w:t>B</w:t>
      </w:r>
      <w:r w:rsidRPr="00F15747">
        <w:t xml:space="preserve">ased on two kinds of knowledge </w:t>
      </w:r>
      <w:proofErr w:type="spellStart"/>
      <w:r>
        <w:t>N</w:t>
      </w:r>
      <w:r w:rsidRPr="00F15747">
        <w:t>ursi</w:t>
      </w:r>
      <w:proofErr w:type="spellEnd"/>
      <w:r w:rsidRPr="00F15747">
        <w:t xml:space="preserve"> goes on to elaborate this point further. We shall now try to outline this briefly.</w:t>
      </w:r>
    </w:p>
    <w:p w:rsidR="00A50849" w:rsidRDefault="00A50849" w:rsidP="00A50849">
      <w:pPr>
        <w:pStyle w:val="Maintext"/>
      </w:pPr>
      <w:r w:rsidRPr="00A50849">
        <w:t xml:space="preserve">In the first class of knowledge concurrence of ideas by conjoining may be helpful; and indeed the progress of this kind of knowledge depends upon conjoining of ideas. This is just like helping each other in material world </w:t>
      </w:r>
      <w:r>
        <w:t xml:space="preserve">to lift a very big, heavy rock. </w:t>
      </w:r>
      <w:r w:rsidRPr="00A50849">
        <w:t>However, in the other class of knowledge, concurrence of any previous accumulation of whatever it may be and cooperation is essentially not effective. It is the same whether one thousand persons helping each other or just one person trying to achieve the purpose. This is just like in the external world crossing over a cliff by jumping; or passing through a very narrow tunnel in which case one and many are the sa</w:t>
      </w:r>
      <w:r>
        <w:t xml:space="preserve">me. Cooperation is of no avail. </w:t>
      </w:r>
      <w:r w:rsidRPr="00A50849">
        <w:t>In this way some of the sciences resemble like the lifting of a heavy rock, accumulation of previous knowledge is very helpful and indeed depends upon it. These are mostly material sciences (</w:t>
      </w:r>
      <w:proofErr w:type="spellStart"/>
      <w:r w:rsidRPr="00A50849">
        <w:rPr>
          <w:i/>
        </w:rPr>
        <w:t>ulûm</w:t>
      </w:r>
      <w:proofErr w:type="spellEnd"/>
      <w:r w:rsidRPr="00A50849">
        <w:rPr>
          <w:i/>
        </w:rPr>
        <w:t xml:space="preserve">-u </w:t>
      </w:r>
      <w:proofErr w:type="spellStart"/>
      <w:r w:rsidRPr="00A50849">
        <w:rPr>
          <w:i/>
        </w:rPr>
        <w:t>maddiye</w:t>
      </w:r>
      <w:proofErr w:type="spellEnd"/>
      <w:r w:rsidRPr="00A50849">
        <w:t>). But the other class resembles the second example: Progress in this kind of knowledge is spontaneous (</w:t>
      </w:r>
      <w:proofErr w:type="spellStart"/>
      <w:r w:rsidRPr="00A50849">
        <w:rPr>
          <w:i/>
        </w:rPr>
        <w:t>def’î</w:t>
      </w:r>
      <w:proofErr w:type="spellEnd"/>
      <w:r w:rsidRPr="00A50849">
        <w:t>) or similar to it. Most of this kind of knowledge is spiritual. On the other hand, although accumulation of knowledge does not change the nature of this second class, complete and augment it, it will help strengthen its proofs, explanation and clarification.</w:t>
      </w:r>
    </w:p>
    <w:p w:rsidR="00A50849" w:rsidRDefault="00A50849" w:rsidP="00A50849">
      <w:pPr>
        <w:pStyle w:val="Maintext"/>
      </w:pPr>
      <w:r>
        <w:t xml:space="preserve">I therefore, claim that according to </w:t>
      </w:r>
      <w:proofErr w:type="spellStart"/>
      <w:r>
        <w:t>Nursi</w:t>
      </w:r>
      <w:proofErr w:type="spellEnd"/>
      <w:r>
        <w:t>, humans manifest four aspects all of which together constitute their nature:</w:t>
      </w:r>
    </w:p>
    <w:p w:rsidR="00A50849" w:rsidRPr="00A50849" w:rsidRDefault="00A50849" w:rsidP="00A50849">
      <w:pPr>
        <w:pStyle w:val="Maintext"/>
        <w:numPr>
          <w:ilvl w:val="0"/>
          <w:numId w:val="1"/>
        </w:numPr>
        <w:spacing w:after="60" w:line="240" w:lineRule="auto"/>
      </w:pPr>
      <w:proofErr w:type="spellStart"/>
      <w:r w:rsidRPr="00A50849">
        <w:t>Animality</w:t>
      </w:r>
      <w:proofErr w:type="spellEnd"/>
      <w:r w:rsidRPr="00A50849">
        <w:t>;</w:t>
      </w:r>
    </w:p>
    <w:p w:rsidR="00A50849" w:rsidRPr="00A50849" w:rsidRDefault="00A50849" w:rsidP="00A50849">
      <w:pPr>
        <w:pStyle w:val="Maintext"/>
        <w:numPr>
          <w:ilvl w:val="0"/>
          <w:numId w:val="1"/>
        </w:numPr>
        <w:spacing w:after="60" w:line="240" w:lineRule="auto"/>
      </w:pPr>
      <w:r w:rsidRPr="00A50849">
        <w:t>Homo Sapience (</w:t>
      </w:r>
      <w:proofErr w:type="spellStart"/>
      <w:r w:rsidRPr="00A50849">
        <w:t>Bashariyyah</w:t>
      </w:r>
      <w:proofErr w:type="spellEnd"/>
      <w:r w:rsidRPr="00A50849">
        <w:t>);</w:t>
      </w:r>
    </w:p>
    <w:p w:rsidR="00A50849" w:rsidRPr="00A50849" w:rsidRDefault="00A50849" w:rsidP="00A50849">
      <w:pPr>
        <w:pStyle w:val="Maintext"/>
        <w:numPr>
          <w:ilvl w:val="0"/>
          <w:numId w:val="1"/>
        </w:numPr>
        <w:spacing w:after="60" w:line="240" w:lineRule="auto"/>
      </w:pPr>
      <w:r w:rsidRPr="00A50849">
        <w:t>Authentic Humanity (</w:t>
      </w:r>
      <w:proofErr w:type="spellStart"/>
      <w:r w:rsidRPr="00A50849">
        <w:t>Insaniyyah</w:t>
      </w:r>
      <w:proofErr w:type="spellEnd"/>
      <w:r w:rsidRPr="00A50849">
        <w:t>);</w:t>
      </w:r>
    </w:p>
    <w:p w:rsidR="00A50849" w:rsidRPr="00A50849" w:rsidRDefault="00A50849" w:rsidP="00A50849">
      <w:pPr>
        <w:pStyle w:val="Maintext"/>
        <w:numPr>
          <w:ilvl w:val="0"/>
          <w:numId w:val="1"/>
        </w:numPr>
        <w:spacing w:after="180" w:line="240" w:lineRule="auto"/>
        <w:ind w:left="754" w:hanging="357"/>
      </w:pPr>
      <w:proofErr w:type="spellStart"/>
      <w:r w:rsidRPr="00A50849">
        <w:rPr>
          <w:lang w:val="tr-TR"/>
        </w:rPr>
        <w:t>Spirituality</w:t>
      </w:r>
      <w:proofErr w:type="spellEnd"/>
      <w:r w:rsidRPr="00A50849">
        <w:rPr>
          <w:lang w:val="tr-TR"/>
        </w:rPr>
        <w:t xml:space="preserve"> (</w:t>
      </w:r>
      <w:proofErr w:type="spellStart"/>
      <w:r w:rsidRPr="00A50849">
        <w:rPr>
          <w:lang w:val="tr-TR"/>
        </w:rPr>
        <w:t>Angelic</w:t>
      </w:r>
      <w:proofErr w:type="spellEnd"/>
      <w:r w:rsidRPr="00A50849">
        <w:rPr>
          <w:lang w:val="tr-TR"/>
        </w:rPr>
        <w:t xml:space="preserve"> Nature)</w:t>
      </w:r>
    </w:p>
    <w:p w:rsidR="00A50849" w:rsidRDefault="00C40B09" w:rsidP="00C40B09">
      <w:pPr>
        <w:pStyle w:val="Maintext"/>
      </w:pPr>
      <w:r w:rsidRPr="00C40B09">
        <w:lastRenderedPageBreak/>
        <w:t>The first aspect of hu</w:t>
      </w:r>
      <w:r>
        <w:t>man nature, namely «</w:t>
      </w:r>
      <w:proofErr w:type="spellStart"/>
      <w:r>
        <w:t>animality</w:t>
      </w:r>
      <w:proofErr w:type="spellEnd"/>
      <w:r>
        <w:t>»,</w:t>
      </w:r>
      <w:r w:rsidRPr="00C40B09">
        <w:t xml:space="preserve"> is built upon the basic requirements of life, such as our biological needs, eating, sheltering and defense.</w:t>
      </w:r>
      <w:r>
        <w:t xml:space="preserve"> </w:t>
      </w:r>
      <w:r w:rsidRPr="00C40B09">
        <w:t>The second, homo sapience, is based upon potentialities of humanity, such as emotions and intelligence. But at this level</w:t>
      </w:r>
      <w:r>
        <w:t>,</w:t>
      </w:r>
      <w:r w:rsidRPr="00C40B09">
        <w:t xml:space="preserve"> emotions are very active and have no limitations.</w:t>
      </w:r>
      <w:r>
        <w:t xml:space="preserve"> </w:t>
      </w:r>
      <w:r w:rsidRPr="00C40B09">
        <w:t xml:space="preserve">A human being is authentic, according to </w:t>
      </w:r>
      <w:proofErr w:type="spellStart"/>
      <w:r w:rsidRPr="00C40B09">
        <w:t>Nursi</w:t>
      </w:r>
      <w:proofErr w:type="spellEnd"/>
      <w:r w:rsidRPr="00C40B09">
        <w:t>, when he begins to use his intellect actively; and therefore, his intelligence is not merely potential but fully active.</w:t>
      </w:r>
      <w:r>
        <w:t xml:space="preserve"> </w:t>
      </w:r>
      <w:r w:rsidRPr="00C40B09">
        <w:t>When the intellect is guided by a divine revelation then his spiritual nature also becomes active.</w:t>
      </w:r>
      <w:r>
        <w:t xml:space="preserve"> Now we come to see how </w:t>
      </w:r>
      <w:proofErr w:type="spellStart"/>
      <w:r>
        <w:t>Nursi</w:t>
      </w:r>
      <w:proofErr w:type="spellEnd"/>
      <w:r>
        <w:t xml:space="preserve"> evaluates all these into an authentic human being as his creator wishes him to be; I will try to evaluate this with lengthy quotations.</w:t>
      </w:r>
    </w:p>
    <w:p w:rsidR="00C40B09" w:rsidRPr="00C40B09" w:rsidRDefault="00C40B09" w:rsidP="00C40B09">
      <w:pPr>
        <w:pStyle w:val="Maintext"/>
        <w:rPr>
          <w:b/>
        </w:rPr>
      </w:pPr>
      <w:r>
        <w:rPr>
          <w:b/>
          <w:lang w:val="tr-TR"/>
        </w:rPr>
        <w:t>NURSİ’S ANALOGICAL HERMENEUTI</w:t>
      </w:r>
      <w:r w:rsidRPr="00C40B09">
        <w:rPr>
          <w:b/>
          <w:lang w:val="tr-TR"/>
        </w:rPr>
        <w:t>CS OF AUTHE</w:t>
      </w:r>
      <w:r>
        <w:rPr>
          <w:b/>
          <w:lang w:val="tr-TR"/>
        </w:rPr>
        <w:t>NTIC HUMAN BEI</w:t>
      </w:r>
      <w:r w:rsidRPr="00C40B09">
        <w:rPr>
          <w:b/>
          <w:lang w:val="tr-TR"/>
        </w:rPr>
        <w:t>NG</w:t>
      </w:r>
    </w:p>
    <w:p w:rsidR="00C40B09" w:rsidRDefault="00C40B09" w:rsidP="00C40B09">
      <w:pPr>
        <w:pStyle w:val="Maintext"/>
      </w:pPr>
      <w:r w:rsidRPr="00C40B09">
        <w:t>An authentic human being is the one who turns his/her face of the heart, spirit, intellect, and even the imagination and other subtle faculties given to one towards eternal life and for each to be occupied with the particular duty of worship worthy of it. Being an authentic human is not as the people of misguidance imagine, to plunge into the life of this world in all its minute details and in order to taste every sort of pleasure, even the basest, make subject to the evil-commanding soul all the subtle faculties and the heart and intellect, and make them assist it; to do this is not progress, it is decline. I saw this fact in a vision which is described in the following comparison:</w:t>
      </w:r>
    </w:p>
    <w:p w:rsidR="00C40B09" w:rsidRPr="00941F93" w:rsidRDefault="00C40B09" w:rsidP="00C40B09">
      <w:pPr>
        <w:pStyle w:val="Alntlar"/>
      </w:pPr>
      <w:r w:rsidRPr="00941F93">
        <w:t>I was entering a large town when I looked and saw it was full of large palaces. At the doors of some of these palaces was merry-making like a brilliant theatre; it captured and held everyone’s attention and was entertaining them. I looked carefully and saw that the lord of such a palace had come to the door; he was playing with a dog and assisting the merry-making. The ladies were indulging in sweet conversation with ill-mannered youths. Grown-up girls were organizing the children’s games. And the doorkeeper had taken the role of directing the others. I then realized that the inside of the huge palace was completely empty. Its refined duties all remained undone. The morals of its inhabitants had declined so that they had taken on these roles at the door. I passed on until I came to another large palace. I saw that there was a faithful dog stretched out at the door and a stern and taciturn doorkeeper; it had an undistinguished appearance. I was curious: why was the other the way it was and this palace like this? I went inside. Then I saw that the inside was very merry. Apartment over apartment, the people of the palace were busy with their different refined duties.</w:t>
      </w:r>
    </w:p>
    <w:p w:rsidR="00C40B09" w:rsidRPr="00941F93" w:rsidRDefault="00C40B09" w:rsidP="00C40B09">
      <w:pPr>
        <w:pStyle w:val="Alntlar"/>
      </w:pPr>
      <w:r w:rsidRPr="00941F93">
        <w:t>The men in the first apartment were overseeing the administration and running of the palace. In the apartment over that, girls were teaching the children. Above that the ladies were occupied with fine arts and beautiful embroideries. And on the top floor, the lord was exchanging news with the king, and was busy with his own elevated duties in order t</w:t>
      </w:r>
      <w:r w:rsidR="00941F93">
        <w:t>o maintain the peoples’ tranqui</w:t>
      </w:r>
      <w:r w:rsidRPr="00941F93">
        <w:t>lity and his own attainments and progress. They did not stop me since I was not visible to them, and I was able to wander around. Then I came out and looked around: everywhere in the town were these two sorts of palaces. I asked about this and they told me: “The palaces where there is merry-making at the door and whose insides are empty belong to the foremost of the unbelievers and people of misguidance. The others belong to honorable Muslim notables.” Then in one corner I came across a palace on which was written my name, SAID. I was curious. I looked more closely and I as though saw my image on it. Calling out in utter bewilderment, I came to my senses and awoke.</w:t>
      </w:r>
    </w:p>
    <w:p w:rsidR="00C40B09" w:rsidRPr="00941F93" w:rsidRDefault="00C40B09" w:rsidP="00C40B09">
      <w:pPr>
        <w:pStyle w:val="Alntlar"/>
      </w:pPr>
    </w:p>
    <w:p w:rsidR="00C40B09" w:rsidRPr="00941F93" w:rsidRDefault="00C40B09" w:rsidP="00C40B09">
      <w:pPr>
        <w:pStyle w:val="Alntlar"/>
      </w:pPr>
      <w:r w:rsidRPr="00941F93">
        <w:t>And now I shall interpret this vision for you. May God cause good to come of it.</w:t>
      </w:r>
    </w:p>
    <w:p w:rsidR="00C40B09" w:rsidRPr="00941F93" w:rsidRDefault="00C40B09" w:rsidP="00C40B09">
      <w:pPr>
        <w:pStyle w:val="Alntlar"/>
      </w:pPr>
      <w:r w:rsidRPr="00941F93">
        <w:t>The town actually represents human social life and the city of man’s civilization.</w:t>
      </w:r>
    </w:p>
    <w:p w:rsidR="00C40B09" w:rsidRPr="00941F93" w:rsidRDefault="00C40B09" w:rsidP="00C40B09">
      <w:pPr>
        <w:pStyle w:val="Alntlar"/>
      </w:pPr>
      <w:r w:rsidRPr="00941F93">
        <w:t>Each of the palaces represents a human being. The people of the palaces then represent by analogy the subtle faculties in man like the eyes, ears, heart, inner heart, spirit, intellect, and things like the soul and caprice, and powers of lust and anger. Each of man’s faculties has a different duty of worship, and different pleasures and pains. The soul and caprice and powers of lust and anger are like the doorkeeper and the dog. Thus, to make the elevated subtle faculties subject to the soul and caprice and make them forget their fundamental duties is certainly decline in humanity and not progress. You can interpret the rest for yourself.</w:t>
      </w:r>
      <w:r w:rsidR="00941F93">
        <w:rPr>
          <w:rStyle w:val="DipnotBavurusu"/>
        </w:rPr>
        <w:footnoteReference w:id="12"/>
      </w:r>
    </w:p>
    <w:p w:rsidR="00941F93" w:rsidRPr="00941F93" w:rsidRDefault="00941F93" w:rsidP="00941F93">
      <w:pPr>
        <w:pStyle w:val="Maintext"/>
      </w:pPr>
      <w:r w:rsidRPr="00941F93">
        <w:t xml:space="preserve">This is the way </w:t>
      </w:r>
      <w:proofErr w:type="spellStart"/>
      <w:r w:rsidRPr="00941F93">
        <w:t>Nursi</w:t>
      </w:r>
      <w:proofErr w:type="spellEnd"/>
      <w:r w:rsidRPr="00941F93">
        <w:t xml:space="preserve"> develops his discourse concerning human spirituality, which is also very spiritual. As this method of discourse is very significant for human spirituality I would like to give two more examples from him.</w:t>
      </w:r>
      <w:r>
        <w:t xml:space="preserve"> In this respect it is important to remember also the simile of antique relics</w:t>
      </w:r>
      <w:r w:rsidR="00515E04">
        <w:t xml:space="preserve"> which also demonstrates his analogical hermeneutics of human nature and with this quotation we shall end our discussion.</w:t>
      </w:r>
    </w:p>
    <w:p w:rsidR="00941F93" w:rsidRPr="00515E04" w:rsidRDefault="00515E04" w:rsidP="00515E04">
      <w:pPr>
        <w:pStyle w:val="Alntlar"/>
      </w:pPr>
      <w:r w:rsidRPr="00515E04">
        <w:t xml:space="preserve">According to </w:t>
      </w:r>
      <w:proofErr w:type="spellStart"/>
      <w:r w:rsidRPr="00515E04">
        <w:t>Nursi</w:t>
      </w:r>
      <w:proofErr w:type="spellEnd"/>
      <w:r w:rsidRPr="00515E04">
        <w:t xml:space="preserve">, “through the light of belief, man rises to the highest of the high and acquires a value worthy of Paradise.” And through the darkness of unbelief, he descends to the lowest of the low and falls to a position fit for Hell. For belief connects man to the All-Glorious Maker; it is thus a relation. Hence, man acquires value by virtue of the Divine art and inscriptions of the divine Names which become apparent in him through belief. On the other hand, unbelief severs the relation, and due to that severance the divine art is concealed. In such a state the value of a human being is reduced to the mere matter of his physical body. But this material body has only a transitory, passing, temporary animal life, its value is virtually nothing because upon the death of the person it turns into merely a handful of dust. This mysterious reality, as </w:t>
      </w:r>
      <w:proofErr w:type="spellStart"/>
      <w:r w:rsidRPr="00515E04">
        <w:t>Nursi</w:t>
      </w:r>
      <w:proofErr w:type="spellEnd"/>
      <w:r w:rsidRPr="00515E04">
        <w:t xml:space="preserve"> names it, can be explained on the basis of an analogy. For example: among human arts, the value of the materials used and that of the art are entirely different. Sometimes they are equal, sometimes the material is more valuable, and sometimes it happens that five dollars’ worth of art is to be found in material like iron worth five cents only. Sometimes, even, an antique work of art is worth a million while the material of which it is composed is not worth even five cents. “If such a work of art is taken to the antiques market and ascribed to a brilliant and accomplished artist of former times, and announced mentioning the artist and that art, it may be sold for a million dollars. Whereas if it is taken to the scrap-dealers, the only price received will be for the five cents’ worth of iron.”</w:t>
      </w:r>
    </w:p>
    <w:p w:rsidR="00515E04" w:rsidRPr="00515E04" w:rsidRDefault="00515E04" w:rsidP="00515E04">
      <w:pPr>
        <w:pStyle w:val="Alntlar"/>
      </w:pPr>
      <w:r w:rsidRPr="00515E04">
        <w:t>Thus, man is such an antique work of art of Almighty God. He is a most subtle and graceful miracle of His power whom He created to manifest all his Names and their inscriptions, in the form of a miniature specimen of the universe. If the light of belief enters his being, all the meaningful inscriptions on him may be read. As one who believes, he reads them consciously, and through that relation, causes others to read them. That is to say, the dominical art in man becomes apparent through meanings like, “I am the creature and artefact of the All-Glorious Maker. I manifest His mercy and munificence.” That is, belief, which consists of being connected to the Maker, makes apparent all the works of art in man. Man’s value is in accordance with that dominical art and by virtue of being a mirror to the Eternally Besought One. In this respect insignificant man becomes God’s addressee and a guest of the Sustainer worthy of Paradise superior to all other creatures.</w:t>
      </w:r>
      <w:r>
        <w:rPr>
          <w:rStyle w:val="DipnotBavurusu"/>
        </w:rPr>
        <w:footnoteReference w:id="13"/>
      </w:r>
    </w:p>
    <w:p w:rsidR="00515E04" w:rsidRPr="00515E04" w:rsidRDefault="00515E04" w:rsidP="00515E04">
      <w:pPr>
        <w:pStyle w:val="Maintext"/>
      </w:pPr>
      <w:r w:rsidRPr="00515E04">
        <w:lastRenderedPageBreak/>
        <w:t xml:space="preserve">Based on these similes </w:t>
      </w:r>
      <w:proofErr w:type="spellStart"/>
      <w:r w:rsidRPr="00515E04">
        <w:t>Nursi’s</w:t>
      </w:r>
      <w:proofErr w:type="spellEnd"/>
      <w:r w:rsidRPr="00515E04">
        <w:t xml:space="preserve"> modal human being is the foundation of a spiritually based society in our modern age. I would like to cite one more hermeneutical analogy (</w:t>
      </w:r>
      <w:proofErr w:type="spellStart"/>
      <w:r w:rsidRPr="00515E04">
        <w:rPr>
          <w:i/>
        </w:rPr>
        <w:t>tamthîl</w:t>
      </w:r>
      <w:proofErr w:type="spellEnd"/>
      <w:r w:rsidRPr="00515E04">
        <w:t>) by him which clearly exhibits his authentic human being with a simile again.</w:t>
      </w:r>
    </w:p>
    <w:p w:rsidR="00515E04" w:rsidRPr="00515E04" w:rsidRDefault="00515E04" w:rsidP="00515E04">
      <w:pPr>
        <w:pStyle w:val="Alntlar"/>
      </w:pPr>
      <w:r w:rsidRPr="00515E04">
        <w:t>I saw in a vision an awesome bridge built between two high mountains situated opposite one another. Beneath the bridge was a valley of great depth. I was on the bridge. A dense darkness had enveloped every part of the world. I looked to my right and saw a vast grave swathed in an unending dense gloom, that is, I imagined it. I looked to my left and as though saw violent storms and calamities gathering amid terrifying waves of blackness. I looked beneath the bridge and imagined I saw a profound abyss. I had a dim torch in the face of this terrifying darkness. I used it and could see a little with its light. A most horrific situation appeared to me. In fact, such awful dragons, lions, and monsters appeared around me and on the bridge in front of me that I exclaimed: “Oh! This torch brings me only trouble!”, and I angrily cast it to the ground and broke it. Then on smashing it, the darkness suddenly dispersed as though I had turned on the switch for a huge electric lamp that lit up the whole world. Everywhere was filled with the lamp’s light. It showed everything as it was in reality.</w:t>
      </w:r>
    </w:p>
    <w:p w:rsidR="00515E04" w:rsidRPr="00515E04" w:rsidRDefault="00515E04" w:rsidP="00515E04">
      <w:pPr>
        <w:pStyle w:val="Alntlar"/>
      </w:pPr>
      <w:r w:rsidRPr="00515E04">
        <w:t>I saw that the bridge I had seen was a highway through a plain passing over even ground. The vast grave I had seen on my right I realized consisted from top to bottom of beautiful, verdant gardens and gatherings for worship, service, conversation, and the remembrance of God under the direction of luminous men. The precipices and peaks on my left which I had imagined to be tempestuous and stormy I now saw fleetingly to be a vast, lovely, and elevated place of feasting, recreation, and enjoyment behind mountains that were adorned and pleasant. And the creatures I had thought to be terrifying monsters and dragons, I saw were familiar domestic animals like camels, oxen, sheep, and goats. Declaring, “All praise be to God for the light of belief,” I recited the verse, God is the Protector of those who believe; He leads them out of darkness into light, and I awoke from my vision.</w:t>
      </w:r>
    </w:p>
    <w:p w:rsidR="00515E04" w:rsidRPr="00515E04" w:rsidRDefault="00515E04" w:rsidP="00515E04">
      <w:pPr>
        <w:pStyle w:val="Alntlar"/>
      </w:pPr>
      <w:r w:rsidRPr="00515E04">
        <w:t>Thus, the two mountains were the beginning and end of life; that is, this world and the Intermediate Realm. The bridge was the road of life. To the right was the past, and to the left, the future.</w:t>
      </w:r>
    </w:p>
    <w:p w:rsidR="00515E04" w:rsidRPr="00515E04" w:rsidRDefault="00515E04" w:rsidP="00515E04">
      <w:pPr>
        <w:pStyle w:val="Alntlar"/>
      </w:pPr>
      <w:r w:rsidRPr="00515E04">
        <w:t>As for the small torch, it was the human ego, which is egotistical, relies on what it knows, and does not heed the heavenly revelation. The things imagined to be the monsters were the events and strange creatures of the world. Thus, one who relies on his ego, who falls into the darkness of heedlessness and is afflicted with the blackness of misguidance resembles my first state in the vision, which, like with the pocket torch and due to deficient and misguided knowledge, saw the past in the form a huge grave amid darkness imbued with non-existence. It showed the future to be a stormy and desolate wasteland governed by coincidence, and events and beings, which are all submissive officials of One All-Wise and All-Compassionate to be monsters. Such a person as though manifests the verse, “and those who reject belief, their protectors are the evil ones; they lead them out of light into Darkness” (2/al-</w:t>
      </w:r>
      <w:proofErr w:type="spellStart"/>
      <w:r w:rsidRPr="00515E04">
        <w:t>Baqara</w:t>
      </w:r>
      <w:proofErr w:type="spellEnd"/>
      <w:r w:rsidRPr="00515E04">
        <w:t>, 257). But if such a man attains to Divine guidance and belief enters his heart, and if the tyranny of his soul is smashed and he heeds God’s Book, he will resemble my second state in the vision.</w:t>
      </w:r>
    </w:p>
    <w:p w:rsidR="00515E04" w:rsidRPr="00515E04" w:rsidRDefault="00515E04" w:rsidP="00515E04">
      <w:pPr>
        <w:pStyle w:val="Alntlar"/>
      </w:pPr>
      <w:r w:rsidRPr="00515E04">
        <w:t xml:space="preserve">Then the universe will suddenly take on the color of day and be filled with Divine light. The world will recite the verse, “God is the light of the heavens </w:t>
      </w:r>
      <w:r>
        <w:t>and the earth” (24/al-</w:t>
      </w:r>
      <w:proofErr w:type="spellStart"/>
      <w:r>
        <w:t>Nûr</w:t>
      </w:r>
      <w:proofErr w:type="spellEnd"/>
      <w:r>
        <w:t>, 35).</w:t>
      </w:r>
    </w:p>
    <w:p w:rsidR="00515E04" w:rsidRPr="00515E04" w:rsidRDefault="00515E04" w:rsidP="00515E04">
      <w:pPr>
        <w:pStyle w:val="Alntlar"/>
      </w:pPr>
      <w:r w:rsidRPr="00515E04">
        <w:t xml:space="preserve">Then he will see with the eye of the heart that the past is not a vast grave, but where the groups of purified spirits who each century having performed their duties of worship under the leadership of a prophet or saint exclaim, “God is </w:t>
      </w:r>
      <w:proofErr w:type="gramStart"/>
      <w:r w:rsidRPr="00515E04">
        <w:t>Most Great</w:t>
      </w:r>
      <w:proofErr w:type="gramEnd"/>
      <w:r w:rsidRPr="00515E04">
        <w:t xml:space="preserve">!” on completion of the duties of their lives, and fly to elevated abodes, moving on to the past. He will look to the left, and through the light of belief distinguish in the distance a feasting-place of the Most Merciful set up in palaces of bliss in the gardens of Paradise, beyond the mountainous revolutions of the Intermediate Realm and the hereafter. And he will realize that the storms and earthquakes and tempestuous events are all submissive officials, and understand that they are the means for instances of wisdom which though apparently </w:t>
      </w:r>
      <w:r w:rsidRPr="00515E04">
        <w:lastRenderedPageBreak/>
        <w:t xml:space="preserve">harsh are in fact </w:t>
      </w:r>
      <w:proofErr w:type="gramStart"/>
      <w:r w:rsidRPr="00515E04">
        <w:t>most gentle</w:t>
      </w:r>
      <w:proofErr w:type="gramEnd"/>
      <w:r w:rsidRPr="00515E04">
        <w:t>, like the storms and rains of spring. He will even see death to be the introduction to eternal life, and the grave, the door to everlasting happiness. You can deduce further aspects for yourself. Apply the reality to the comparison!</w:t>
      </w:r>
      <w:r>
        <w:rPr>
          <w:rStyle w:val="DipnotBavurusu"/>
        </w:rPr>
        <w:footnoteReference w:id="14"/>
      </w:r>
    </w:p>
    <w:sectPr w:rsidR="00515E04" w:rsidRPr="00515E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170" w:rsidRDefault="00765170" w:rsidP="0057061C">
      <w:pPr>
        <w:spacing w:after="0" w:line="240" w:lineRule="auto"/>
      </w:pPr>
      <w:r>
        <w:separator/>
      </w:r>
    </w:p>
  </w:endnote>
  <w:endnote w:type="continuationSeparator" w:id="0">
    <w:p w:rsidR="00765170" w:rsidRDefault="00765170" w:rsidP="00570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170" w:rsidRDefault="00765170" w:rsidP="0057061C">
      <w:pPr>
        <w:spacing w:after="0" w:line="240" w:lineRule="auto"/>
      </w:pPr>
      <w:r>
        <w:separator/>
      </w:r>
    </w:p>
  </w:footnote>
  <w:footnote w:type="continuationSeparator" w:id="0">
    <w:p w:rsidR="00765170" w:rsidRDefault="00765170" w:rsidP="0057061C">
      <w:pPr>
        <w:spacing w:after="0" w:line="240" w:lineRule="auto"/>
      </w:pPr>
      <w:r>
        <w:continuationSeparator/>
      </w:r>
    </w:p>
  </w:footnote>
  <w:footnote w:id="1">
    <w:p w:rsidR="0057061C" w:rsidRPr="008A1358" w:rsidRDefault="0057061C" w:rsidP="008A1358">
      <w:pPr>
        <w:pStyle w:val="Footnotes"/>
      </w:pPr>
      <w:r w:rsidRPr="008A1358">
        <w:rPr>
          <w:rStyle w:val="DipnotBavurusu"/>
        </w:rPr>
        <w:footnoteRef/>
      </w:r>
      <w:r w:rsidRPr="008A1358">
        <w:t xml:space="preserve"> </w:t>
      </w:r>
      <w:r w:rsidR="008A1358" w:rsidRPr="008A1358">
        <w:t xml:space="preserve">Jean </w:t>
      </w:r>
      <w:proofErr w:type="spellStart"/>
      <w:r w:rsidR="008A1358" w:rsidRPr="008A1358">
        <w:t>Khalfa</w:t>
      </w:r>
      <w:proofErr w:type="spellEnd"/>
      <w:r w:rsidR="008A1358" w:rsidRPr="008A1358">
        <w:t xml:space="preserve"> provides a good summary of this in his article</w:t>
      </w:r>
      <w:r w:rsidR="008A1358" w:rsidRPr="008A1358">
        <w:rPr>
          <w:lang w:val="tr-TR"/>
        </w:rPr>
        <w:t xml:space="preserve"> </w:t>
      </w:r>
      <w:r w:rsidR="008A1358">
        <w:t>“</w:t>
      </w:r>
      <w:r w:rsidR="008A1358" w:rsidRPr="008A1358">
        <w:t xml:space="preserve">Pascal’s Theory of </w:t>
      </w:r>
      <w:r w:rsidR="008A1358">
        <w:t>K</w:t>
      </w:r>
      <w:r w:rsidR="008A1358" w:rsidRPr="008A1358">
        <w:t>nowledge</w:t>
      </w:r>
      <w:r w:rsidR="008A1358">
        <w:t xml:space="preserve">” in </w:t>
      </w:r>
      <w:r w:rsidR="008A1358" w:rsidRPr="008A1358">
        <w:rPr>
          <w:i/>
        </w:rPr>
        <w:t>The Cambridge Companion to Pascal</w:t>
      </w:r>
      <w:r w:rsidR="008A1358">
        <w:t xml:space="preserve">, ed. </w:t>
      </w:r>
      <w:r w:rsidR="008A1358" w:rsidRPr="008A1358">
        <w:t xml:space="preserve">Nicholas Hammond </w:t>
      </w:r>
      <w:r w:rsidR="008A1358">
        <w:t>(Cambridge: University Press, 2003), 122-144.</w:t>
      </w:r>
    </w:p>
  </w:footnote>
  <w:footnote w:id="2">
    <w:p w:rsidR="00AB2409" w:rsidRPr="00AB2409" w:rsidRDefault="00AB2409" w:rsidP="00AB2409">
      <w:pPr>
        <w:pStyle w:val="Footnotes"/>
      </w:pPr>
      <w:r>
        <w:rPr>
          <w:rStyle w:val="DipnotBavurusu"/>
        </w:rPr>
        <w:footnoteRef/>
      </w:r>
      <w:r>
        <w:t xml:space="preserve"> See, for example, Blaise Pascal, </w:t>
      </w:r>
      <w:proofErr w:type="spellStart"/>
      <w:r>
        <w:rPr>
          <w:i/>
        </w:rPr>
        <w:t>Pensees</w:t>
      </w:r>
      <w:proofErr w:type="spellEnd"/>
      <w:r>
        <w:t xml:space="preserve">, trans. A. J. </w:t>
      </w:r>
      <w:proofErr w:type="spellStart"/>
      <w:r>
        <w:t>Krailsheimer</w:t>
      </w:r>
      <w:proofErr w:type="spellEnd"/>
      <w:r>
        <w:t xml:space="preserve"> (London: Penguin Books, 1966). Some of the chapters of this book shows the marks of spiritual thinking.</w:t>
      </w:r>
    </w:p>
  </w:footnote>
  <w:footnote w:id="3">
    <w:p w:rsidR="00616AC5" w:rsidRDefault="00616AC5" w:rsidP="00616AC5">
      <w:pPr>
        <w:pStyle w:val="Footnotes"/>
      </w:pPr>
      <w:r>
        <w:rPr>
          <w:rStyle w:val="DipnotBavurusu"/>
        </w:rPr>
        <w:footnoteRef/>
      </w:r>
      <w:r>
        <w:t xml:space="preserve"> </w:t>
      </w:r>
      <w:proofErr w:type="spellStart"/>
      <w:r>
        <w:t>Nursi</w:t>
      </w:r>
      <w:proofErr w:type="spellEnd"/>
      <w:r>
        <w:t xml:space="preserve">, </w:t>
      </w:r>
      <w:proofErr w:type="spellStart"/>
      <w:r>
        <w:t>Bediuzzaman</w:t>
      </w:r>
      <w:proofErr w:type="spellEnd"/>
      <w:r>
        <w:t xml:space="preserve"> Said, </w:t>
      </w:r>
      <w:proofErr w:type="spellStart"/>
      <w:r>
        <w:t>Sozler</w:t>
      </w:r>
      <w:proofErr w:type="spellEnd"/>
      <w:r>
        <w:t>, Ista</w:t>
      </w:r>
      <w:r>
        <w:t xml:space="preserve">nbul, </w:t>
      </w:r>
      <w:proofErr w:type="spellStart"/>
      <w:r>
        <w:t>Envar</w:t>
      </w:r>
      <w:proofErr w:type="spellEnd"/>
      <w:r>
        <w:t xml:space="preserve"> </w:t>
      </w:r>
      <w:proofErr w:type="spellStart"/>
      <w:r>
        <w:t>Nesriyat</w:t>
      </w:r>
      <w:proofErr w:type="spellEnd"/>
      <w:r>
        <w:t xml:space="preserve"> 1991, 705.</w:t>
      </w:r>
    </w:p>
  </w:footnote>
  <w:footnote w:id="4">
    <w:p w:rsidR="00616AC5" w:rsidRDefault="00616AC5" w:rsidP="00616AC5">
      <w:pPr>
        <w:pStyle w:val="Footnotes"/>
      </w:pPr>
      <w:r>
        <w:rPr>
          <w:rStyle w:val="DipnotBavurusu"/>
        </w:rPr>
        <w:footnoteRef/>
      </w:r>
      <w:r>
        <w:t xml:space="preserve"> </w:t>
      </w:r>
      <w:proofErr w:type="spellStart"/>
      <w:r w:rsidRPr="00616AC5">
        <w:t>Nursi</w:t>
      </w:r>
      <w:proofErr w:type="spellEnd"/>
      <w:r w:rsidRPr="00616AC5">
        <w:t xml:space="preserve">, </w:t>
      </w:r>
      <w:proofErr w:type="spellStart"/>
      <w:r w:rsidRPr="00616AC5">
        <w:t>Bediuzzaman</w:t>
      </w:r>
      <w:proofErr w:type="spellEnd"/>
      <w:r w:rsidRPr="00616AC5">
        <w:t xml:space="preserve"> Said, </w:t>
      </w:r>
      <w:proofErr w:type="spellStart"/>
      <w:r w:rsidRPr="00616AC5">
        <w:t>Munazarat</w:t>
      </w:r>
      <w:proofErr w:type="spellEnd"/>
      <w:r w:rsidRPr="00616AC5">
        <w:t xml:space="preserve">, Istanbul, </w:t>
      </w:r>
      <w:proofErr w:type="spellStart"/>
      <w:r w:rsidRPr="00616AC5">
        <w:t>Sozler</w:t>
      </w:r>
      <w:proofErr w:type="spellEnd"/>
      <w:r w:rsidRPr="00616AC5">
        <w:t xml:space="preserve"> </w:t>
      </w:r>
      <w:proofErr w:type="spellStart"/>
      <w:r w:rsidRPr="00616AC5">
        <w:t>Yayinevi</w:t>
      </w:r>
      <w:proofErr w:type="spellEnd"/>
      <w:r w:rsidRPr="00616AC5">
        <w:t xml:space="preserve"> 1977, 72.</w:t>
      </w:r>
    </w:p>
  </w:footnote>
  <w:footnote w:id="5">
    <w:p w:rsidR="00D16F51" w:rsidRDefault="00D16F51" w:rsidP="00D16F51">
      <w:pPr>
        <w:pStyle w:val="Footnotes"/>
      </w:pPr>
      <w:r>
        <w:rPr>
          <w:rStyle w:val="DipnotBavurusu"/>
        </w:rPr>
        <w:footnoteRef/>
      </w:r>
      <w:r>
        <w:t xml:space="preserve"> </w:t>
      </w:r>
      <w:proofErr w:type="spellStart"/>
      <w:r>
        <w:t>Bediuzzaman</w:t>
      </w:r>
      <w:proofErr w:type="spellEnd"/>
      <w:r>
        <w:t xml:space="preserve"> Said </w:t>
      </w:r>
      <w:proofErr w:type="spellStart"/>
      <w:r>
        <w:t>Nursi</w:t>
      </w:r>
      <w:proofErr w:type="spellEnd"/>
      <w:r>
        <w:t xml:space="preserve">. </w:t>
      </w:r>
      <w:proofErr w:type="spellStart"/>
      <w:r w:rsidRPr="00D16F51">
        <w:rPr>
          <w:i/>
        </w:rPr>
        <w:t>Sozler</w:t>
      </w:r>
      <w:proofErr w:type="spellEnd"/>
      <w:r>
        <w:t xml:space="preserve">, 262-3/ </w:t>
      </w:r>
      <w:r w:rsidRPr="00D16F51">
        <w:rPr>
          <w:i/>
        </w:rPr>
        <w:t>The Words</w:t>
      </w:r>
      <w:r>
        <w:t xml:space="preserve">, Eng. Translation by </w:t>
      </w:r>
      <w:proofErr w:type="spellStart"/>
      <w:r>
        <w:t>Şükran</w:t>
      </w:r>
      <w:proofErr w:type="spellEnd"/>
      <w:r>
        <w:t xml:space="preserve"> </w:t>
      </w:r>
      <w:proofErr w:type="spellStart"/>
      <w:r>
        <w:t>Vahide</w:t>
      </w:r>
      <w:proofErr w:type="spellEnd"/>
      <w:r>
        <w:t xml:space="preserve"> (Istanbul, </w:t>
      </w:r>
      <w:proofErr w:type="spellStart"/>
      <w:r>
        <w:t>Sozler</w:t>
      </w:r>
      <w:proofErr w:type="spellEnd"/>
      <w:r>
        <w:t xml:space="preserve"> Publications</w:t>
      </w:r>
      <w:r>
        <w:t>, 1993), 270.</w:t>
      </w:r>
    </w:p>
  </w:footnote>
  <w:footnote w:id="6">
    <w:p w:rsidR="00D16F51" w:rsidRDefault="00D16F51" w:rsidP="00D16F51">
      <w:pPr>
        <w:pStyle w:val="Footnotes"/>
      </w:pPr>
      <w:r>
        <w:rPr>
          <w:rStyle w:val="DipnotBavurusu"/>
        </w:rPr>
        <w:footnoteRef/>
      </w:r>
      <w:r>
        <w:t xml:space="preserve"> </w:t>
      </w:r>
      <w:proofErr w:type="spellStart"/>
      <w:r w:rsidRPr="00D16F51">
        <w:t>Bediuzzaman</w:t>
      </w:r>
      <w:proofErr w:type="spellEnd"/>
      <w:r w:rsidRPr="00D16F51">
        <w:t xml:space="preserve"> Said </w:t>
      </w:r>
      <w:proofErr w:type="spellStart"/>
      <w:r w:rsidRPr="00D16F51">
        <w:t>Nursi</w:t>
      </w:r>
      <w:proofErr w:type="spellEnd"/>
      <w:r w:rsidRPr="00D16F51">
        <w:t xml:space="preserve">, </w:t>
      </w:r>
      <w:proofErr w:type="spellStart"/>
      <w:r w:rsidRPr="00D16F51">
        <w:rPr>
          <w:i/>
        </w:rPr>
        <w:t>Mektubat</w:t>
      </w:r>
      <w:proofErr w:type="spellEnd"/>
      <w:r w:rsidRPr="00D16F51">
        <w:t xml:space="preserve"> (Istanbul: </w:t>
      </w:r>
      <w:proofErr w:type="spellStart"/>
      <w:r w:rsidRPr="00D16F51">
        <w:t>Envar</w:t>
      </w:r>
      <w:proofErr w:type="spellEnd"/>
      <w:r w:rsidRPr="00D16F51">
        <w:t xml:space="preserve"> </w:t>
      </w:r>
      <w:proofErr w:type="spellStart"/>
      <w:r w:rsidRPr="00D16F51">
        <w:t>Nesriyat</w:t>
      </w:r>
      <w:proofErr w:type="spellEnd"/>
      <w:r w:rsidRPr="00D16F51">
        <w:t xml:space="preserve">, 1991), 369/ </w:t>
      </w:r>
      <w:r w:rsidRPr="00D16F51">
        <w:rPr>
          <w:i/>
        </w:rPr>
        <w:t>Letters</w:t>
      </w:r>
      <w:r w:rsidRPr="00D16F51">
        <w:t xml:space="preserve"> 1928-32, </w:t>
      </w:r>
      <w:proofErr w:type="spellStart"/>
      <w:r w:rsidRPr="00D16F51">
        <w:t>Şükran</w:t>
      </w:r>
      <w:proofErr w:type="spellEnd"/>
      <w:r w:rsidRPr="00D16F51">
        <w:t xml:space="preserve"> </w:t>
      </w:r>
      <w:proofErr w:type="spellStart"/>
      <w:r w:rsidRPr="00D16F51">
        <w:t>Vahide</w:t>
      </w:r>
      <w:proofErr w:type="spellEnd"/>
      <w:r w:rsidRPr="00D16F51">
        <w:t xml:space="preserve"> translation (</w:t>
      </w:r>
      <w:proofErr w:type="spellStart"/>
      <w:r w:rsidRPr="00D16F51">
        <w:t>Sozler</w:t>
      </w:r>
      <w:proofErr w:type="spellEnd"/>
      <w:r w:rsidRPr="00D16F51">
        <w:t xml:space="preserve"> Publications, 1994), 434.</w:t>
      </w:r>
    </w:p>
  </w:footnote>
  <w:footnote w:id="7">
    <w:p w:rsidR="00D16F51" w:rsidRDefault="00D16F51" w:rsidP="00D16F51">
      <w:pPr>
        <w:pStyle w:val="Footnotes"/>
      </w:pPr>
      <w:r>
        <w:rPr>
          <w:rStyle w:val="DipnotBavurusu"/>
        </w:rPr>
        <w:footnoteRef/>
      </w:r>
      <w:r>
        <w:t xml:space="preserve"> </w:t>
      </w:r>
      <w:proofErr w:type="spellStart"/>
      <w:r w:rsidRPr="00D16F51">
        <w:t>Bediuzzaman</w:t>
      </w:r>
      <w:proofErr w:type="spellEnd"/>
      <w:r w:rsidRPr="00D16F51">
        <w:t xml:space="preserve"> Said </w:t>
      </w:r>
      <w:proofErr w:type="spellStart"/>
      <w:r w:rsidRPr="00D16F51">
        <w:t>Nursi</w:t>
      </w:r>
      <w:proofErr w:type="spellEnd"/>
      <w:r w:rsidRPr="00D16F51">
        <w:t xml:space="preserve">. </w:t>
      </w:r>
      <w:proofErr w:type="spellStart"/>
      <w:r w:rsidRPr="00D16F51">
        <w:rPr>
          <w:i/>
        </w:rPr>
        <w:t>Kastamonu</w:t>
      </w:r>
      <w:proofErr w:type="spellEnd"/>
      <w:r w:rsidRPr="00D16F51">
        <w:rPr>
          <w:i/>
        </w:rPr>
        <w:t xml:space="preserve"> </w:t>
      </w:r>
      <w:proofErr w:type="spellStart"/>
      <w:r w:rsidRPr="00D16F51">
        <w:rPr>
          <w:i/>
        </w:rPr>
        <w:t>Lahikasi</w:t>
      </w:r>
      <w:proofErr w:type="spellEnd"/>
      <w:r w:rsidRPr="00D16F51">
        <w:t xml:space="preserve"> (Istanbul: </w:t>
      </w:r>
      <w:proofErr w:type="spellStart"/>
      <w:r w:rsidRPr="00D16F51">
        <w:t>Envar</w:t>
      </w:r>
      <w:proofErr w:type="spellEnd"/>
      <w:r w:rsidRPr="00D16F51">
        <w:t xml:space="preserve"> </w:t>
      </w:r>
      <w:proofErr w:type="spellStart"/>
      <w:r w:rsidRPr="00D16F51">
        <w:t>Nesriyat</w:t>
      </w:r>
      <w:proofErr w:type="spellEnd"/>
      <w:r w:rsidRPr="00D16F51">
        <w:t>, 1990), 11-12.</w:t>
      </w:r>
    </w:p>
  </w:footnote>
  <w:footnote w:id="8">
    <w:p w:rsidR="00D16F51" w:rsidRDefault="00D16F51" w:rsidP="00D16F51">
      <w:pPr>
        <w:pStyle w:val="Footnotes"/>
      </w:pPr>
      <w:r>
        <w:rPr>
          <w:rStyle w:val="DipnotBavurusu"/>
        </w:rPr>
        <w:footnoteRef/>
      </w:r>
      <w:r>
        <w:t xml:space="preserve"> Ibid, 30.</w:t>
      </w:r>
    </w:p>
  </w:footnote>
  <w:footnote w:id="9">
    <w:p w:rsidR="0021290C" w:rsidRPr="0021290C" w:rsidRDefault="0021290C" w:rsidP="0021290C">
      <w:pPr>
        <w:pStyle w:val="Footnotes"/>
      </w:pPr>
      <w:r>
        <w:rPr>
          <w:rStyle w:val="DipnotBavurusu"/>
        </w:rPr>
        <w:footnoteRef/>
      </w:r>
      <w:r>
        <w:t xml:space="preserve"> For instance</w:t>
      </w:r>
      <w:r w:rsidR="00941F93">
        <w:t>,</w:t>
      </w:r>
      <w:r>
        <w:t xml:space="preserve"> see </w:t>
      </w:r>
      <w:proofErr w:type="spellStart"/>
      <w:r>
        <w:rPr>
          <w:i/>
        </w:rPr>
        <w:t>Sözler</w:t>
      </w:r>
      <w:proofErr w:type="spellEnd"/>
      <w:r>
        <w:t>, op. cit., “</w:t>
      </w:r>
      <w:proofErr w:type="spellStart"/>
      <w:r>
        <w:t>Ene</w:t>
      </w:r>
      <w:proofErr w:type="spellEnd"/>
      <w:r>
        <w:t xml:space="preserve"> </w:t>
      </w:r>
      <w:proofErr w:type="spellStart"/>
      <w:r>
        <w:t>Risalesi</w:t>
      </w:r>
      <w:proofErr w:type="spellEnd"/>
      <w:r>
        <w:t xml:space="preserve">”. For the English trans. See </w:t>
      </w:r>
      <w:r>
        <w:rPr>
          <w:i/>
        </w:rPr>
        <w:t>The Words</w:t>
      </w:r>
      <w:r>
        <w:t>, op. cit., “</w:t>
      </w:r>
      <w:r w:rsidRPr="0021290C">
        <w:t>The Thirtieth Word</w:t>
      </w:r>
      <w:r>
        <w:t>, First Aim”.</w:t>
      </w:r>
      <w:r w:rsidR="00941F93">
        <w:t xml:space="preserve"> Also, “Twenty Third Word, Second Section, Second Point”.</w:t>
      </w:r>
    </w:p>
  </w:footnote>
  <w:footnote w:id="10">
    <w:p w:rsidR="00F15747" w:rsidRPr="00F15747" w:rsidRDefault="00F15747" w:rsidP="00F15747">
      <w:pPr>
        <w:pStyle w:val="Footnotes"/>
      </w:pPr>
      <w:r>
        <w:rPr>
          <w:rStyle w:val="DipnotBavurusu"/>
        </w:rPr>
        <w:footnoteRef/>
      </w:r>
      <w:r>
        <w:t xml:space="preserve"> </w:t>
      </w:r>
      <w:proofErr w:type="spellStart"/>
      <w:r>
        <w:t>Bediuzzaman</w:t>
      </w:r>
      <w:proofErr w:type="spellEnd"/>
      <w:r>
        <w:t xml:space="preserve"> Said </w:t>
      </w:r>
      <w:proofErr w:type="spellStart"/>
      <w:r>
        <w:t>Nursi</w:t>
      </w:r>
      <w:proofErr w:type="spellEnd"/>
      <w:r>
        <w:t xml:space="preserve">. </w:t>
      </w:r>
      <w:proofErr w:type="spellStart"/>
      <w:r>
        <w:rPr>
          <w:i/>
        </w:rPr>
        <w:t>Barla</w:t>
      </w:r>
      <w:proofErr w:type="spellEnd"/>
      <w:r>
        <w:rPr>
          <w:i/>
        </w:rPr>
        <w:t xml:space="preserve"> </w:t>
      </w:r>
      <w:proofErr w:type="spellStart"/>
      <w:r>
        <w:rPr>
          <w:i/>
        </w:rPr>
        <w:t>Lahikası</w:t>
      </w:r>
      <w:proofErr w:type="spellEnd"/>
      <w:r>
        <w:t xml:space="preserve">, in the </w:t>
      </w:r>
      <w:proofErr w:type="spellStart"/>
      <w:r>
        <w:rPr>
          <w:i/>
        </w:rPr>
        <w:t>Kulliyat</w:t>
      </w:r>
      <w:proofErr w:type="spellEnd"/>
      <w:r>
        <w:t xml:space="preserve">, </w:t>
      </w:r>
      <w:r w:rsidRPr="00F15747">
        <w:rPr>
          <w:lang w:val="tr-TR"/>
        </w:rPr>
        <w:t>2: 1516.</w:t>
      </w:r>
    </w:p>
  </w:footnote>
  <w:footnote w:id="11">
    <w:p w:rsidR="00F15747" w:rsidRDefault="00F15747" w:rsidP="00F15747">
      <w:pPr>
        <w:pStyle w:val="Footnotes"/>
      </w:pPr>
      <w:r>
        <w:rPr>
          <w:rStyle w:val="DipnotBavurusu"/>
        </w:rPr>
        <w:footnoteRef/>
      </w:r>
      <w:r>
        <w:t xml:space="preserve"> </w:t>
      </w:r>
      <w:proofErr w:type="spellStart"/>
      <w:r w:rsidRPr="00F15747">
        <w:rPr>
          <w:lang w:val="tr-TR"/>
        </w:rPr>
        <w:t>Bediuzzaman</w:t>
      </w:r>
      <w:proofErr w:type="spellEnd"/>
      <w:r w:rsidRPr="00F15747">
        <w:rPr>
          <w:lang w:val="tr-TR"/>
        </w:rPr>
        <w:t xml:space="preserve"> Said Nursi.</w:t>
      </w:r>
      <w:r>
        <w:rPr>
          <w:lang w:val="tr-TR"/>
        </w:rPr>
        <w:t xml:space="preserve"> </w:t>
      </w:r>
      <w:r w:rsidRPr="00F15747">
        <w:rPr>
          <w:i/>
        </w:rPr>
        <w:t>The Words</w:t>
      </w:r>
      <w:r w:rsidRPr="00F15747">
        <w:t xml:space="preserve">, “Twenty Third Word”, translated into English by </w:t>
      </w:r>
      <w:proofErr w:type="spellStart"/>
      <w:r w:rsidRPr="00F15747">
        <w:t>Şükran</w:t>
      </w:r>
      <w:proofErr w:type="spellEnd"/>
      <w:r w:rsidRPr="00F15747">
        <w:t xml:space="preserve"> </w:t>
      </w:r>
      <w:proofErr w:type="spellStart"/>
      <w:r w:rsidRPr="00F15747">
        <w:t>Vahide</w:t>
      </w:r>
      <w:proofErr w:type="spellEnd"/>
      <w:r w:rsidRPr="00F15747">
        <w:t xml:space="preserve"> (Istanbul: </w:t>
      </w:r>
      <w:proofErr w:type="spellStart"/>
      <w:r w:rsidRPr="00F15747">
        <w:t>Sozler</w:t>
      </w:r>
      <w:proofErr w:type="spellEnd"/>
      <w:r w:rsidRPr="00F15747">
        <w:t xml:space="preserve"> Publications, 1993), 324.</w:t>
      </w:r>
    </w:p>
  </w:footnote>
  <w:footnote w:id="12">
    <w:p w:rsidR="00941F93" w:rsidRPr="00941F93" w:rsidRDefault="00941F93" w:rsidP="00941F93">
      <w:pPr>
        <w:pStyle w:val="Footnotes"/>
      </w:pPr>
      <w:r>
        <w:rPr>
          <w:rStyle w:val="DipnotBavurusu"/>
        </w:rPr>
        <w:footnoteRef/>
      </w:r>
      <w:r>
        <w:t xml:space="preserve"> </w:t>
      </w:r>
      <w:proofErr w:type="spellStart"/>
      <w:r>
        <w:rPr>
          <w:i/>
        </w:rPr>
        <w:t>Sözler</w:t>
      </w:r>
      <w:proofErr w:type="spellEnd"/>
      <w:r>
        <w:t xml:space="preserve">, </w:t>
      </w:r>
      <w:r w:rsidR="00515E04">
        <w:t>“</w:t>
      </w:r>
      <w:r>
        <w:t>Twenty Third Word, Second Section”, 432ff.</w:t>
      </w:r>
    </w:p>
  </w:footnote>
  <w:footnote w:id="13">
    <w:p w:rsidR="00515E04" w:rsidRDefault="00515E04" w:rsidP="00515E04">
      <w:pPr>
        <w:pStyle w:val="Footnotes"/>
      </w:pPr>
      <w:r>
        <w:rPr>
          <w:rStyle w:val="DipnotBavurusu"/>
        </w:rPr>
        <w:footnoteRef/>
      </w:r>
      <w:r>
        <w:t xml:space="preserve"> </w:t>
      </w:r>
      <w:proofErr w:type="spellStart"/>
      <w:r>
        <w:t>Ibid</w:t>
      </w:r>
      <w:proofErr w:type="spellEnd"/>
      <w:r>
        <w:t>, “</w:t>
      </w:r>
      <w:proofErr w:type="spellStart"/>
      <w:r w:rsidRPr="00515E04">
        <w:rPr>
          <w:lang w:val="tr-TR"/>
        </w:rPr>
        <w:t>Twenty</w:t>
      </w:r>
      <w:proofErr w:type="spellEnd"/>
      <w:r w:rsidRPr="00515E04">
        <w:rPr>
          <w:lang w:val="tr-TR"/>
        </w:rPr>
        <w:t xml:space="preserve"> Third Word</w:t>
      </w:r>
      <w:r>
        <w:rPr>
          <w:lang w:val="tr-TR"/>
        </w:rPr>
        <w:t>”.</w:t>
      </w:r>
    </w:p>
  </w:footnote>
  <w:footnote w:id="14">
    <w:p w:rsidR="00515E04" w:rsidRDefault="00515E04" w:rsidP="00515E04">
      <w:pPr>
        <w:pStyle w:val="Footnotes"/>
      </w:pPr>
      <w:r>
        <w:rPr>
          <w:rStyle w:val="DipnotBavurusu"/>
        </w:rPr>
        <w:footnoteRef/>
      </w:r>
      <w:r>
        <w:t xml:space="preserve"> </w:t>
      </w:r>
      <w:proofErr w:type="spellStart"/>
      <w:r w:rsidRPr="00515E04">
        <w:rPr>
          <w:i/>
          <w:lang w:val="tr-TR"/>
        </w:rPr>
        <w:t>The</w:t>
      </w:r>
      <w:proofErr w:type="spellEnd"/>
      <w:r w:rsidRPr="00515E04">
        <w:rPr>
          <w:i/>
          <w:lang w:val="tr-TR"/>
        </w:rPr>
        <w:t xml:space="preserve"> </w:t>
      </w:r>
      <w:proofErr w:type="spellStart"/>
      <w:r w:rsidRPr="00515E04">
        <w:rPr>
          <w:i/>
          <w:lang w:val="tr-TR"/>
        </w:rPr>
        <w:t>Words</w:t>
      </w:r>
      <w:proofErr w:type="spellEnd"/>
      <w:r w:rsidRPr="00515E04">
        <w:rPr>
          <w:lang w:val="tr-TR"/>
        </w:rPr>
        <w:t xml:space="preserve">, op. </w:t>
      </w:r>
      <w:proofErr w:type="spellStart"/>
      <w:r w:rsidRPr="00515E04">
        <w:rPr>
          <w:lang w:val="tr-TR"/>
        </w:rPr>
        <w:t>cit</w:t>
      </w:r>
      <w:proofErr w:type="spellEnd"/>
      <w:proofErr w:type="gramStart"/>
      <w:r w:rsidRPr="00515E04">
        <w:rPr>
          <w:lang w:val="tr-TR"/>
        </w:rPr>
        <w:t>.,</w:t>
      </w:r>
      <w:proofErr w:type="gramEnd"/>
      <w:r w:rsidRPr="00515E04">
        <w:rPr>
          <w:lang w:val="tr-TR"/>
        </w:rPr>
        <w:t xml:space="preserve"> 321ff.</w:t>
      </w:r>
      <w:bookmarkStart w:id="0" w:name="_GoBack"/>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749F4"/>
    <w:multiLevelType w:val="hybridMultilevel"/>
    <w:tmpl w:val="A8BCC174"/>
    <w:lvl w:ilvl="0" w:tplc="7B04B68C">
      <w:start w:val="1"/>
      <w:numFmt w:val="decimal"/>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D1D"/>
    <w:rsid w:val="000950A6"/>
    <w:rsid w:val="001A5D2B"/>
    <w:rsid w:val="0021290C"/>
    <w:rsid w:val="004E1D1D"/>
    <w:rsid w:val="0050069E"/>
    <w:rsid w:val="00515E04"/>
    <w:rsid w:val="005529D4"/>
    <w:rsid w:val="0057061C"/>
    <w:rsid w:val="00616AC5"/>
    <w:rsid w:val="00765170"/>
    <w:rsid w:val="008A1358"/>
    <w:rsid w:val="00906B9D"/>
    <w:rsid w:val="00941F93"/>
    <w:rsid w:val="00A24275"/>
    <w:rsid w:val="00A50849"/>
    <w:rsid w:val="00AB2409"/>
    <w:rsid w:val="00AE5279"/>
    <w:rsid w:val="00C40B09"/>
    <w:rsid w:val="00D16F51"/>
    <w:rsid w:val="00D60B70"/>
    <w:rsid w:val="00E71295"/>
    <w:rsid w:val="00E80AEE"/>
    <w:rsid w:val="00F157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728C"/>
  <w15:chartTrackingRefBased/>
  <w15:docId w15:val="{8D27B89C-D74A-4433-9BD3-250FFAF48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intext">
    <w:name w:val="Maintext"/>
    <w:basedOn w:val="Normal"/>
    <w:qFormat/>
    <w:rsid w:val="00AE5279"/>
    <w:pPr>
      <w:spacing w:after="120" w:line="360" w:lineRule="auto"/>
      <w:ind w:firstLine="397"/>
      <w:jc w:val="both"/>
    </w:pPr>
    <w:rPr>
      <w:rFonts w:ascii="Times New Roman" w:hAnsi="Times New Roman" w:cs="Times New Roman"/>
      <w:sz w:val="24"/>
      <w:lang w:val="en-US"/>
    </w:rPr>
  </w:style>
  <w:style w:type="paragraph" w:styleId="DipnotMetni">
    <w:name w:val="footnote text"/>
    <w:basedOn w:val="Normal"/>
    <w:link w:val="DipnotMetniChar"/>
    <w:uiPriority w:val="99"/>
    <w:semiHidden/>
    <w:unhideWhenUsed/>
    <w:rsid w:val="0057061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7061C"/>
    <w:rPr>
      <w:sz w:val="20"/>
      <w:szCs w:val="20"/>
    </w:rPr>
  </w:style>
  <w:style w:type="character" w:styleId="DipnotBavurusu">
    <w:name w:val="footnote reference"/>
    <w:basedOn w:val="VarsaylanParagrafYazTipi"/>
    <w:uiPriority w:val="99"/>
    <w:semiHidden/>
    <w:unhideWhenUsed/>
    <w:rsid w:val="0057061C"/>
    <w:rPr>
      <w:vertAlign w:val="superscript"/>
    </w:rPr>
  </w:style>
  <w:style w:type="paragraph" w:customStyle="1" w:styleId="Footnotes">
    <w:name w:val="Footnotes"/>
    <w:basedOn w:val="DipnotMetni"/>
    <w:qFormat/>
    <w:rsid w:val="008A1358"/>
    <w:pPr>
      <w:spacing w:after="60"/>
      <w:ind w:left="170" w:hanging="170"/>
      <w:jc w:val="both"/>
    </w:pPr>
    <w:rPr>
      <w:rFonts w:ascii="Times New Roman" w:hAnsi="Times New Roman" w:cs="Times New Roman"/>
      <w:lang w:val="en-US"/>
    </w:rPr>
  </w:style>
  <w:style w:type="paragraph" w:customStyle="1" w:styleId="Alntlar">
    <w:name w:val="Alıntılar"/>
    <w:basedOn w:val="Maintext"/>
    <w:qFormat/>
    <w:rsid w:val="00616AC5"/>
    <w:pPr>
      <w:spacing w:line="240" w:lineRule="auto"/>
      <w:ind w:left="993" w:right="992" w:firstLine="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DA2BB-BBBA-4C9B-935C-2D0A5FA0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5434</Words>
  <Characters>30974</Characters>
  <Application>Microsoft Office Word</Application>
  <DocSecurity>0</DocSecurity>
  <Lines>258</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Alparslan AÇIKGENÇ</dc:creator>
  <cp:keywords/>
  <dc:description/>
  <cp:lastModifiedBy>Alparslan AÇIKGENÇ</cp:lastModifiedBy>
  <cp:revision>8</cp:revision>
  <dcterms:created xsi:type="dcterms:W3CDTF">2019-07-11T14:09:00Z</dcterms:created>
  <dcterms:modified xsi:type="dcterms:W3CDTF">2019-07-11T21:02:00Z</dcterms:modified>
</cp:coreProperties>
</file>