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8E2" w:rsidRPr="00AE337C" w:rsidRDefault="00D308E2" w:rsidP="00AE337C">
      <w:pPr>
        <w:pStyle w:val="AralkYok"/>
        <w:spacing w:after="120"/>
        <w:ind w:firstLine="567"/>
        <w:jc w:val="center"/>
        <w:rPr>
          <w:rFonts w:cstheme="minorHAnsi"/>
          <w:b/>
          <w:lang w:val="en-US"/>
        </w:rPr>
      </w:pPr>
      <w:r w:rsidRPr="00AE337C">
        <w:rPr>
          <w:rFonts w:cstheme="minorHAnsi"/>
          <w:b/>
          <w:lang w:val="en-US"/>
        </w:rPr>
        <w:t>NURSI’S CALL TO HIS RHETORICAL AUDIENCE IN DAMASCUS SERMON</w:t>
      </w:r>
    </w:p>
    <w:p w:rsidR="00D308E2" w:rsidRPr="00AE337C" w:rsidRDefault="00D308E2" w:rsidP="00AE337C">
      <w:pPr>
        <w:pStyle w:val="AralkYok"/>
        <w:spacing w:after="120"/>
        <w:ind w:firstLine="567"/>
        <w:jc w:val="right"/>
        <w:rPr>
          <w:rFonts w:cstheme="minorHAnsi"/>
          <w:b/>
          <w:lang w:val="en-US"/>
        </w:rPr>
      </w:pPr>
      <w:r w:rsidRPr="00AE337C">
        <w:rPr>
          <w:rFonts w:cstheme="minorHAnsi"/>
          <w:b/>
          <w:lang w:val="en-US"/>
        </w:rPr>
        <w:t>Nur</w:t>
      </w:r>
      <w:r w:rsidR="007800E1" w:rsidRPr="00AE337C">
        <w:rPr>
          <w:rFonts w:cstheme="minorHAnsi"/>
          <w:b/>
          <w:lang w:val="en-US"/>
        </w:rPr>
        <w:t xml:space="preserve"> </w:t>
      </w:r>
      <w:proofErr w:type="spellStart"/>
      <w:r w:rsidRPr="00AE337C">
        <w:rPr>
          <w:rFonts w:cstheme="minorHAnsi"/>
          <w:b/>
          <w:lang w:val="en-US"/>
        </w:rPr>
        <w:t>Sakinah</w:t>
      </w:r>
      <w:proofErr w:type="spellEnd"/>
      <w:r w:rsidRPr="00AE337C">
        <w:rPr>
          <w:rFonts w:cstheme="minorHAnsi"/>
          <w:b/>
          <w:lang w:val="en-US"/>
        </w:rPr>
        <w:t xml:space="preserve"> Thomas</w:t>
      </w:r>
      <w:r w:rsidR="00AE337C" w:rsidRPr="00AE337C">
        <w:rPr>
          <w:rStyle w:val="DipnotBavurusu"/>
          <w:rFonts w:cstheme="minorHAnsi"/>
          <w:b/>
          <w:lang w:val="en-US"/>
        </w:rPr>
        <w:footnoteReference w:customMarkFollows="1" w:id="1"/>
        <w:t>*</w:t>
      </w:r>
    </w:p>
    <w:p w:rsidR="00D308E2" w:rsidRPr="00AE337C" w:rsidRDefault="00D308E2" w:rsidP="00AE337C">
      <w:pPr>
        <w:pStyle w:val="AralkYok"/>
        <w:spacing w:after="120"/>
        <w:ind w:firstLine="567"/>
        <w:jc w:val="both"/>
        <w:rPr>
          <w:rFonts w:cstheme="minorHAnsi"/>
          <w:b/>
          <w:lang w:val="en-US"/>
        </w:rPr>
      </w:pPr>
      <w:r w:rsidRPr="00AE337C">
        <w:rPr>
          <w:rFonts w:cstheme="minorHAnsi"/>
          <w:b/>
          <w:lang w:val="en-US"/>
        </w:rPr>
        <w:t xml:space="preserve">Abstract </w:t>
      </w:r>
    </w:p>
    <w:p w:rsidR="00D308E2" w:rsidRPr="00F931E7" w:rsidRDefault="00D308E2" w:rsidP="00AE337C">
      <w:pPr>
        <w:spacing w:after="120" w:line="240" w:lineRule="auto"/>
        <w:ind w:firstLine="567"/>
        <w:jc w:val="both"/>
        <w:rPr>
          <w:rFonts w:cstheme="minorHAnsi"/>
          <w:sz w:val="20"/>
          <w:szCs w:val="20"/>
          <w:lang w:val="en-US"/>
        </w:rPr>
      </w:pPr>
      <w:r w:rsidRPr="00F931E7">
        <w:rPr>
          <w:rFonts w:cstheme="minorHAnsi"/>
          <w:sz w:val="20"/>
          <w:szCs w:val="20"/>
          <w:lang w:val="en-US"/>
        </w:rPr>
        <w:t xml:space="preserve">The notion to consider audience in rhetorical situation has been an important concern ever since the ancient times. However, little attention is given to the significance on the projection of audience by an orator and the role of an audience in rhetorical analysis. Therefore, this study aims to identify the projection of audience through a rhetorical analysis in </w:t>
      </w:r>
      <w:r w:rsidRPr="00F931E7">
        <w:rPr>
          <w:rFonts w:cstheme="minorHAnsi"/>
          <w:i/>
          <w:sz w:val="20"/>
          <w:szCs w:val="20"/>
          <w:lang w:val="en-US"/>
        </w:rPr>
        <w:t>Damascus Sermon</w:t>
      </w:r>
      <w:r w:rsidRPr="00F931E7">
        <w:rPr>
          <w:rFonts w:cstheme="minorHAnsi"/>
          <w:sz w:val="20"/>
          <w:szCs w:val="20"/>
          <w:lang w:val="en-US"/>
        </w:rPr>
        <w:t xml:space="preserve"> written by Bediuzzaman Said </w:t>
      </w:r>
      <w:proofErr w:type="spellStart"/>
      <w:r w:rsidRPr="00F931E7">
        <w:rPr>
          <w:rFonts w:cstheme="minorHAnsi"/>
          <w:sz w:val="20"/>
          <w:szCs w:val="20"/>
          <w:lang w:val="en-US"/>
        </w:rPr>
        <w:t>Nursi</w:t>
      </w:r>
      <w:proofErr w:type="spellEnd"/>
      <w:r w:rsidRPr="00F931E7">
        <w:rPr>
          <w:rFonts w:cstheme="minorHAnsi"/>
          <w:sz w:val="20"/>
          <w:szCs w:val="20"/>
          <w:lang w:val="en-US"/>
        </w:rPr>
        <w:t xml:space="preserve"> (1877-1960). Specifically, the analysis focuses on </w:t>
      </w:r>
      <w:proofErr w:type="spellStart"/>
      <w:r w:rsidRPr="00F931E7">
        <w:rPr>
          <w:rFonts w:cstheme="minorHAnsi"/>
          <w:sz w:val="20"/>
          <w:szCs w:val="20"/>
          <w:lang w:val="en-US"/>
        </w:rPr>
        <w:t>Nursi’s</w:t>
      </w:r>
      <w:proofErr w:type="spellEnd"/>
      <w:r w:rsidRPr="00F931E7">
        <w:rPr>
          <w:rFonts w:cstheme="minorHAnsi"/>
          <w:sz w:val="20"/>
          <w:szCs w:val="20"/>
          <w:lang w:val="en-US"/>
        </w:rPr>
        <w:t xml:space="preserve"> call to his rhetorical audience to be mediators of change.</w:t>
      </w:r>
      <w:r w:rsidR="00AE337C" w:rsidRPr="00F931E7">
        <w:rPr>
          <w:rFonts w:cstheme="minorHAnsi"/>
          <w:sz w:val="20"/>
          <w:szCs w:val="20"/>
          <w:lang w:val="en-US"/>
        </w:rPr>
        <w:t xml:space="preserve"> </w:t>
      </w:r>
      <w:r w:rsidRPr="00F931E7">
        <w:rPr>
          <w:rFonts w:cstheme="minorHAnsi"/>
          <w:sz w:val="20"/>
          <w:szCs w:val="20"/>
          <w:lang w:val="en-US"/>
        </w:rPr>
        <w:t xml:space="preserve">The </w:t>
      </w:r>
      <w:r w:rsidRPr="00F931E7">
        <w:rPr>
          <w:rFonts w:cstheme="minorHAnsi"/>
          <w:i/>
          <w:sz w:val="20"/>
          <w:szCs w:val="20"/>
          <w:lang w:val="en-US"/>
        </w:rPr>
        <w:t>Sermon</w:t>
      </w:r>
      <w:r w:rsidRPr="00F931E7">
        <w:rPr>
          <w:rFonts w:cstheme="minorHAnsi"/>
          <w:sz w:val="20"/>
          <w:szCs w:val="20"/>
          <w:lang w:val="en-US"/>
        </w:rPr>
        <w:t xml:space="preserve"> is </w:t>
      </w:r>
      <w:proofErr w:type="spellStart"/>
      <w:r w:rsidRPr="00F931E7">
        <w:rPr>
          <w:rFonts w:cstheme="minorHAnsi"/>
          <w:sz w:val="20"/>
          <w:szCs w:val="20"/>
          <w:lang w:val="en-US"/>
        </w:rPr>
        <w:t>analysed</w:t>
      </w:r>
      <w:proofErr w:type="spellEnd"/>
      <w:r w:rsidRPr="00F931E7">
        <w:rPr>
          <w:rFonts w:cstheme="minorHAnsi"/>
          <w:sz w:val="20"/>
          <w:szCs w:val="20"/>
          <w:lang w:val="en-US"/>
        </w:rPr>
        <w:t xml:space="preserve"> using a qualitative research method through an explanatory case study based on Bitzer’s (1968, 1980) rhetorical situation theory. The findings reveal that </w:t>
      </w:r>
      <w:proofErr w:type="spellStart"/>
      <w:r w:rsidRPr="00F931E7">
        <w:rPr>
          <w:rFonts w:cstheme="minorHAnsi"/>
          <w:sz w:val="20"/>
          <w:szCs w:val="20"/>
          <w:lang w:val="en-US"/>
        </w:rPr>
        <w:t>Nursi’s</w:t>
      </w:r>
      <w:proofErr w:type="spellEnd"/>
      <w:r w:rsidRPr="00F931E7">
        <w:rPr>
          <w:rFonts w:cstheme="minorHAnsi"/>
          <w:sz w:val="20"/>
          <w:szCs w:val="20"/>
          <w:lang w:val="en-US"/>
        </w:rPr>
        <w:t xml:space="preserve"> call for ‘positive action’ to his present and envisioned rhetorical audience is embedded in the solution he provides in the form of six ‘Words’ to cure the “six dire sicknesses" of Muslims in particular. Although there are limitations in this study as it only focuses on the audience, the findings are worth considering as audience play an important role through their actions which are crucial for positive modification in any rhetorical situations. The implications from the study can benefit audience, create orators’ awareness and contribute to the field of rhetorical studies.</w:t>
      </w:r>
    </w:p>
    <w:p w:rsidR="00D308E2" w:rsidRPr="00F931E7" w:rsidRDefault="00DA5B59" w:rsidP="00AE337C">
      <w:pPr>
        <w:spacing w:after="120" w:line="240" w:lineRule="auto"/>
        <w:ind w:firstLine="567"/>
        <w:jc w:val="both"/>
        <w:rPr>
          <w:rFonts w:cstheme="minorHAnsi"/>
          <w:i/>
          <w:sz w:val="20"/>
          <w:szCs w:val="20"/>
          <w:lang w:val="en-US"/>
        </w:rPr>
      </w:pPr>
      <w:r w:rsidRPr="00F931E7">
        <w:rPr>
          <w:rFonts w:cstheme="minorHAnsi"/>
          <w:b/>
          <w:iCs/>
          <w:lang w:val="en-US"/>
        </w:rPr>
        <w:t>Keyw</w:t>
      </w:r>
      <w:r w:rsidR="00D308E2" w:rsidRPr="00F931E7">
        <w:rPr>
          <w:rFonts w:cstheme="minorHAnsi"/>
          <w:b/>
          <w:iCs/>
          <w:lang w:val="en-US"/>
        </w:rPr>
        <w:t>ords</w:t>
      </w:r>
      <w:r w:rsidR="00D308E2" w:rsidRPr="00F931E7">
        <w:rPr>
          <w:rFonts w:cstheme="minorHAnsi"/>
          <w:b/>
          <w:iCs/>
          <w:sz w:val="20"/>
          <w:szCs w:val="20"/>
          <w:lang w:val="en-US"/>
        </w:rPr>
        <w:t>:</w:t>
      </w:r>
      <w:r w:rsidRPr="00F931E7">
        <w:rPr>
          <w:rFonts w:cstheme="minorHAnsi"/>
          <w:b/>
          <w:iCs/>
          <w:sz w:val="20"/>
          <w:szCs w:val="20"/>
          <w:lang w:val="en-US"/>
        </w:rPr>
        <w:t xml:space="preserve"> </w:t>
      </w:r>
      <w:r w:rsidR="00D308E2" w:rsidRPr="00F931E7">
        <w:rPr>
          <w:rFonts w:cstheme="minorHAnsi"/>
          <w:iCs/>
          <w:sz w:val="20"/>
          <w:szCs w:val="20"/>
          <w:lang w:val="en-US"/>
        </w:rPr>
        <w:t xml:space="preserve">Bediuzzaman Said </w:t>
      </w:r>
      <w:proofErr w:type="spellStart"/>
      <w:r w:rsidR="00D308E2" w:rsidRPr="00F931E7">
        <w:rPr>
          <w:rFonts w:cstheme="minorHAnsi"/>
          <w:iCs/>
          <w:sz w:val="20"/>
          <w:szCs w:val="20"/>
          <w:lang w:val="en-US"/>
        </w:rPr>
        <w:t>Nursi</w:t>
      </w:r>
      <w:proofErr w:type="spellEnd"/>
      <w:r w:rsidR="00D308E2" w:rsidRPr="00F931E7">
        <w:rPr>
          <w:rFonts w:cstheme="minorHAnsi"/>
          <w:iCs/>
          <w:sz w:val="20"/>
          <w:szCs w:val="20"/>
          <w:lang w:val="en-US"/>
        </w:rPr>
        <w:t>, Damascus Sermon, Rhetorical Audience</w:t>
      </w:r>
    </w:p>
    <w:p w:rsidR="007C4A70" w:rsidRPr="00AE337C" w:rsidRDefault="007C4A70" w:rsidP="00AE337C">
      <w:pPr>
        <w:spacing w:after="120" w:line="240" w:lineRule="auto"/>
        <w:ind w:firstLine="567"/>
        <w:jc w:val="both"/>
        <w:rPr>
          <w:rFonts w:cstheme="minorHAnsi"/>
          <w:b/>
          <w:lang w:val="en-US"/>
        </w:rPr>
      </w:pPr>
      <w:proofErr w:type="spellStart"/>
      <w:r w:rsidRPr="00AE337C">
        <w:rPr>
          <w:rFonts w:cstheme="minorHAnsi"/>
          <w:b/>
          <w:lang w:val="en-US"/>
        </w:rPr>
        <w:t>Nursi’nin</w:t>
      </w:r>
      <w:proofErr w:type="spellEnd"/>
      <w:r w:rsidRPr="00AE337C">
        <w:rPr>
          <w:rFonts w:cstheme="minorHAnsi"/>
          <w:b/>
          <w:lang w:val="en-US"/>
        </w:rPr>
        <w:t xml:space="preserve"> </w:t>
      </w:r>
      <w:proofErr w:type="spellStart"/>
      <w:r w:rsidRPr="00AE337C">
        <w:rPr>
          <w:rFonts w:cstheme="minorHAnsi"/>
          <w:b/>
          <w:lang w:val="en-US"/>
        </w:rPr>
        <w:t>Şam</w:t>
      </w:r>
      <w:proofErr w:type="spellEnd"/>
      <w:r w:rsidRPr="00AE337C">
        <w:rPr>
          <w:rFonts w:cstheme="minorHAnsi"/>
          <w:b/>
          <w:lang w:val="en-US"/>
        </w:rPr>
        <w:t xml:space="preserve"> </w:t>
      </w:r>
      <w:proofErr w:type="spellStart"/>
      <w:r w:rsidRPr="00AE337C">
        <w:rPr>
          <w:rFonts w:cstheme="minorHAnsi"/>
          <w:b/>
          <w:lang w:val="en-US"/>
        </w:rPr>
        <w:t>Hutbesinde</w:t>
      </w:r>
      <w:proofErr w:type="spellEnd"/>
      <w:r w:rsidRPr="00AE337C">
        <w:rPr>
          <w:rFonts w:cstheme="minorHAnsi"/>
          <w:b/>
          <w:lang w:val="en-US"/>
        </w:rPr>
        <w:t xml:space="preserve"> </w:t>
      </w:r>
      <w:proofErr w:type="spellStart"/>
      <w:r w:rsidRPr="00AE337C">
        <w:rPr>
          <w:rFonts w:cstheme="minorHAnsi"/>
          <w:b/>
          <w:lang w:val="en-US"/>
        </w:rPr>
        <w:t>Muhataplarına</w:t>
      </w:r>
      <w:proofErr w:type="spellEnd"/>
      <w:r w:rsidRPr="00AE337C">
        <w:rPr>
          <w:rFonts w:cstheme="minorHAnsi"/>
          <w:b/>
          <w:lang w:val="en-US"/>
        </w:rPr>
        <w:t xml:space="preserve"> </w:t>
      </w:r>
      <w:proofErr w:type="spellStart"/>
      <w:r w:rsidRPr="00AE337C">
        <w:rPr>
          <w:rFonts w:cstheme="minorHAnsi"/>
          <w:b/>
          <w:lang w:val="en-US"/>
        </w:rPr>
        <w:t>Yaptığı</w:t>
      </w:r>
      <w:proofErr w:type="spellEnd"/>
      <w:r w:rsidRPr="00AE337C">
        <w:rPr>
          <w:rFonts w:cstheme="minorHAnsi"/>
          <w:b/>
          <w:lang w:val="en-US"/>
        </w:rPr>
        <w:t xml:space="preserve"> </w:t>
      </w:r>
      <w:proofErr w:type="spellStart"/>
      <w:r w:rsidRPr="00AE337C">
        <w:rPr>
          <w:rFonts w:cstheme="minorHAnsi"/>
          <w:b/>
          <w:lang w:val="en-US"/>
        </w:rPr>
        <w:t>Çağrının</w:t>
      </w:r>
      <w:proofErr w:type="spellEnd"/>
      <w:r w:rsidRPr="00AE337C">
        <w:rPr>
          <w:rFonts w:cstheme="minorHAnsi"/>
          <w:b/>
          <w:lang w:val="en-US"/>
        </w:rPr>
        <w:t xml:space="preserve"> </w:t>
      </w:r>
      <w:proofErr w:type="spellStart"/>
      <w:r w:rsidRPr="00AE337C">
        <w:rPr>
          <w:rFonts w:cstheme="minorHAnsi"/>
          <w:b/>
          <w:lang w:val="en-US"/>
        </w:rPr>
        <w:t>Retorik</w:t>
      </w:r>
      <w:proofErr w:type="spellEnd"/>
      <w:r w:rsidRPr="00AE337C">
        <w:rPr>
          <w:rFonts w:cstheme="minorHAnsi"/>
          <w:b/>
          <w:lang w:val="en-US"/>
        </w:rPr>
        <w:t xml:space="preserve"> </w:t>
      </w:r>
      <w:proofErr w:type="spellStart"/>
      <w:r w:rsidRPr="00AE337C">
        <w:rPr>
          <w:rFonts w:cstheme="minorHAnsi"/>
          <w:b/>
          <w:lang w:val="en-US"/>
        </w:rPr>
        <w:t>İncelemesi</w:t>
      </w:r>
      <w:proofErr w:type="spellEnd"/>
    </w:p>
    <w:p w:rsidR="00D308E2" w:rsidRPr="00AE337C" w:rsidRDefault="00DA5B59" w:rsidP="00AE337C">
      <w:pPr>
        <w:spacing w:after="120" w:line="240" w:lineRule="auto"/>
        <w:ind w:firstLine="567"/>
        <w:jc w:val="both"/>
        <w:rPr>
          <w:rFonts w:cstheme="minorHAnsi"/>
          <w:b/>
          <w:lang w:val="en-US"/>
        </w:rPr>
      </w:pPr>
      <w:proofErr w:type="spellStart"/>
      <w:r w:rsidRPr="00AE337C">
        <w:rPr>
          <w:rFonts w:cstheme="minorHAnsi"/>
          <w:b/>
          <w:lang w:val="en-US"/>
        </w:rPr>
        <w:t>Öz</w:t>
      </w:r>
      <w:proofErr w:type="spellEnd"/>
    </w:p>
    <w:p w:rsidR="00D308E2" w:rsidRPr="00F931E7" w:rsidRDefault="00D308E2" w:rsidP="00AE337C">
      <w:pPr>
        <w:spacing w:after="120" w:line="240" w:lineRule="auto"/>
        <w:ind w:firstLine="567"/>
        <w:jc w:val="both"/>
        <w:rPr>
          <w:rFonts w:cstheme="minorHAnsi"/>
          <w:bCs/>
          <w:sz w:val="20"/>
          <w:szCs w:val="20"/>
          <w:lang w:val="en-US"/>
        </w:rPr>
      </w:pPr>
      <w:proofErr w:type="spellStart"/>
      <w:r w:rsidRPr="00F931E7">
        <w:rPr>
          <w:rFonts w:cstheme="minorHAnsi"/>
          <w:bCs/>
          <w:sz w:val="20"/>
          <w:szCs w:val="20"/>
          <w:lang w:val="en-US"/>
        </w:rPr>
        <w:t>Hitabet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ortamında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dinleyici</w:t>
      </w:r>
      <w:r w:rsidR="00944AC2" w:rsidRPr="00F931E7">
        <w:rPr>
          <w:rFonts w:cstheme="minorHAnsi"/>
          <w:bCs/>
          <w:sz w:val="20"/>
          <w:szCs w:val="20"/>
          <w:lang w:val="en-US"/>
        </w:rPr>
        <w:t>yi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dikkate</w:t>
      </w:r>
      <w:proofErr w:type="spellEnd"/>
      <w:r w:rsidRPr="00F931E7">
        <w:rPr>
          <w:rFonts w:cstheme="minorHAnsi"/>
          <w:bCs/>
          <w:sz w:val="20"/>
          <w:szCs w:val="20"/>
          <w:lang w:val="en-US"/>
        </w:rPr>
        <w:t xml:space="preserve"> alma, </w:t>
      </w:r>
      <w:proofErr w:type="spellStart"/>
      <w:r w:rsidRPr="00F931E7">
        <w:rPr>
          <w:rFonts w:cstheme="minorHAnsi"/>
          <w:bCs/>
          <w:sz w:val="20"/>
          <w:szCs w:val="20"/>
          <w:lang w:val="en-US"/>
        </w:rPr>
        <w:t>antik</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çağlardan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bu</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yana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önemli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konu</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olarak</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görülmüştür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Ancak</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dinleyicinin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hatip</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tarafından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projeksiyon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yapılmasına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yani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yansıtılmasına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ve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hitabet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tahlilinde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dinleyicinin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rolüne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pek</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az</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önem</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atfedilmiş</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ve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dikkat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çekilmiştir</w:t>
      </w:r>
      <w:proofErr w:type="spellEnd"/>
      <w:r w:rsidRPr="00F931E7">
        <w:rPr>
          <w:rFonts w:cstheme="minorHAnsi"/>
          <w:bCs/>
          <w:sz w:val="20"/>
          <w:szCs w:val="20"/>
          <w:lang w:val="en-US"/>
        </w:rPr>
        <w:t xml:space="preserve">. Bu </w:t>
      </w:r>
      <w:proofErr w:type="spellStart"/>
      <w:r w:rsidRPr="00F931E7">
        <w:rPr>
          <w:rFonts w:cstheme="minorHAnsi"/>
          <w:bCs/>
          <w:sz w:val="20"/>
          <w:szCs w:val="20"/>
          <w:lang w:val="en-US"/>
        </w:rPr>
        <w:t>sebeple</w:t>
      </w:r>
      <w:proofErr w:type="spellEnd"/>
      <w:r w:rsidRPr="00F931E7">
        <w:rPr>
          <w:rFonts w:cstheme="minorHAnsi"/>
          <w:bCs/>
          <w:sz w:val="20"/>
          <w:szCs w:val="20"/>
          <w:lang w:val="en-US"/>
        </w:rPr>
        <w:t xml:space="preserve"> bu </w:t>
      </w:r>
      <w:proofErr w:type="spellStart"/>
      <w:r w:rsidRPr="00F931E7">
        <w:rPr>
          <w:rFonts w:cstheme="minorHAnsi"/>
          <w:bCs/>
          <w:sz w:val="20"/>
          <w:szCs w:val="20"/>
          <w:lang w:val="en-US"/>
        </w:rPr>
        <w:t>makalede</w:t>
      </w:r>
      <w:proofErr w:type="spellEnd"/>
      <w:r w:rsidRPr="00F931E7">
        <w:rPr>
          <w:rFonts w:cstheme="minorHAnsi"/>
          <w:bCs/>
          <w:sz w:val="20"/>
          <w:szCs w:val="20"/>
          <w:lang w:val="en-US"/>
        </w:rPr>
        <w:t xml:space="preserve"> Bediüzzaman Said </w:t>
      </w:r>
      <w:proofErr w:type="spellStart"/>
      <w:r w:rsidRPr="00F931E7">
        <w:rPr>
          <w:rFonts w:cstheme="minorHAnsi"/>
          <w:bCs/>
          <w:sz w:val="20"/>
          <w:szCs w:val="20"/>
          <w:lang w:val="en-US"/>
        </w:rPr>
        <w:t>Nursi</w:t>
      </w:r>
      <w:proofErr w:type="spellEnd"/>
      <w:r w:rsidRPr="00F931E7">
        <w:rPr>
          <w:rFonts w:cstheme="minorHAnsi"/>
          <w:bCs/>
          <w:sz w:val="20"/>
          <w:szCs w:val="20"/>
          <w:lang w:val="en-US"/>
        </w:rPr>
        <w:t xml:space="preserve"> (1877-1960) </w:t>
      </w:r>
      <w:proofErr w:type="spellStart"/>
      <w:r w:rsidRPr="00F931E7">
        <w:rPr>
          <w:rFonts w:cstheme="minorHAnsi"/>
          <w:bCs/>
          <w:sz w:val="20"/>
          <w:szCs w:val="20"/>
          <w:lang w:val="en-US"/>
        </w:rPr>
        <w:t>tarafından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yazılan</w:t>
      </w:r>
      <w:proofErr w:type="spellEnd"/>
      <w:r w:rsidRPr="00F931E7">
        <w:rPr>
          <w:rFonts w:cstheme="minorHAnsi"/>
          <w:bCs/>
          <w:sz w:val="20"/>
          <w:szCs w:val="20"/>
          <w:lang w:val="en-US"/>
        </w:rPr>
        <w:t xml:space="preserve"> </w:t>
      </w:r>
      <w:proofErr w:type="spellStart"/>
      <w:r w:rsidRPr="00F931E7">
        <w:rPr>
          <w:rFonts w:cstheme="minorHAnsi"/>
          <w:bCs/>
          <w:i/>
          <w:iCs/>
          <w:sz w:val="20"/>
          <w:szCs w:val="20"/>
          <w:lang w:val="en-US"/>
        </w:rPr>
        <w:t>Hutbe-i</w:t>
      </w:r>
      <w:proofErr w:type="spellEnd"/>
      <w:r w:rsidRPr="00F931E7">
        <w:rPr>
          <w:rFonts w:cstheme="minorHAnsi"/>
          <w:bCs/>
          <w:i/>
          <w:iCs/>
          <w:sz w:val="20"/>
          <w:szCs w:val="20"/>
          <w:lang w:val="en-US"/>
        </w:rPr>
        <w:t xml:space="preserve"> </w:t>
      </w:r>
      <w:proofErr w:type="spellStart"/>
      <w:r w:rsidRPr="00F931E7">
        <w:rPr>
          <w:rFonts w:cstheme="minorHAnsi"/>
          <w:bCs/>
          <w:i/>
          <w:iCs/>
          <w:sz w:val="20"/>
          <w:szCs w:val="20"/>
          <w:lang w:val="en-US"/>
        </w:rPr>
        <w:t>Şamiye</w:t>
      </w:r>
      <w:r w:rsidRPr="00F931E7">
        <w:rPr>
          <w:rFonts w:cstheme="minorHAnsi"/>
          <w:bCs/>
          <w:sz w:val="20"/>
          <w:szCs w:val="20"/>
          <w:lang w:val="en-US"/>
        </w:rPr>
        <w:t>’de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dinleyicinin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yansıtılmasının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hitabet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tahlili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yoluyla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belirlenmesi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lastRenderedPageBreak/>
        <w:t>amaçlanmıştır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Tahlil</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özellikle</w:t>
      </w:r>
      <w:proofErr w:type="spellEnd"/>
      <w:r w:rsidRPr="00F931E7">
        <w:rPr>
          <w:rFonts w:cstheme="minorHAnsi"/>
          <w:bCs/>
          <w:sz w:val="20"/>
          <w:szCs w:val="20"/>
          <w:lang w:val="en-US"/>
        </w:rPr>
        <w:t xml:space="preserve"> de </w:t>
      </w:r>
      <w:proofErr w:type="spellStart"/>
      <w:r w:rsidRPr="00F931E7">
        <w:rPr>
          <w:rFonts w:cstheme="minorHAnsi"/>
          <w:bCs/>
          <w:sz w:val="20"/>
          <w:szCs w:val="20"/>
          <w:lang w:val="en-US"/>
        </w:rPr>
        <w:t>Nursi’nin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hitab</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ettiği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dinleyiciyi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değişimin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aracı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olma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çağrısı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üzerinde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yoğunlaşmıştır</w:t>
      </w:r>
      <w:proofErr w:type="spellEnd"/>
      <w:r w:rsidRPr="00F931E7">
        <w:rPr>
          <w:rFonts w:cstheme="minorHAnsi"/>
          <w:bCs/>
          <w:sz w:val="20"/>
          <w:szCs w:val="20"/>
          <w:lang w:val="en-US"/>
        </w:rPr>
        <w:t xml:space="preserve">. </w:t>
      </w:r>
      <w:proofErr w:type="spellStart"/>
      <w:r w:rsidRPr="00F931E7">
        <w:rPr>
          <w:rFonts w:cstheme="minorHAnsi"/>
          <w:bCs/>
          <w:i/>
          <w:iCs/>
          <w:sz w:val="20"/>
          <w:szCs w:val="20"/>
          <w:lang w:val="en-US"/>
        </w:rPr>
        <w:t>Hutbe</w:t>
      </w:r>
      <w:proofErr w:type="spellEnd"/>
      <w:r w:rsidR="007C4A70" w:rsidRPr="00F931E7">
        <w:rPr>
          <w:rFonts w:cstheme="minorHAnsi"/>
          <w:bCs/>
          <w:i/>
          <w:iCs/>
          <w:sz w:val="20"/>
          <w:szCs w:val="20"/>
          <w:lang w:val="en-US"/>
        </w:rPr>
        <w:t xml:space="preserve"> </w:t>
      </w:r>
      <w:proofErr w:type="spellStart"/>
      <w:r w:rsidRPr="00F931E7">
        <w:rPr>
          <w:rFonts w:cstheme="minorHAnsi"/>
          <w:bCs/>
          <w:sz w:val="20"/>
          <w:szCs w:val="20"/>
          <w:lang w:val="en-US"/>
        </w:rPr>
        <w:t>Bitzer’in</w:t>
      </w:r>
      <w:proofErr w:type="spellEnd"/>
      <w:r w:rsidRPr="00F931E7">
        <w:rPr>
          <w:rFonts w:cstheme="minorHAnsi"/>
          <w:bCs/>
          <w:sz w:val="20"/>
          <w:szCs w:val="20"/>
          <w:lang w:val="en-US"/>
        </w:rPr>
        <w:t xml:space="preserve"> (1968, 1980) </w:t>
      </w:r>
      <w:proofErr w:type="spellStart"/>
      <w:r w:rsidRPr="00F931E7">
        <w:rPr>
          <w:rFonts w:cstheme="minorHAnsi"/>
          <w:bCs/>
          <w:sz w:val="20"/>
          <w:szCs w:val="20"/>
          <w:lang w:val="en-US"/>
        </w:rPr>
        <w:t>Hitabet</w:t>
      </w:r>
      <w:proofErr w:type="spellEnd"/>
      <w:r w:rsidRPr="00F931E7">
        <w:rPr>
          <w:rFonts w:cstheme="minorHAnsi"/>
          <w:bCs/>
          <w:sz w:val="20"/>
          <w:szCs w:val="20"/>
          <w:lang w:val="en-US"/>
        </w:rPr>
        <w:t xml:space="preserve"> Durumu </w:t>
      </w:r>
      <w:proofErr w:type="spellStart"/>
      <w:r w:rsidRPr="00F931E7">
        <w:rPr>
          <w:rFonts w:cstheme="minorHAnsi"/>
          <w:bCs/>
          <w:sz w:val="20"/>
          <w:szCs w:val="20"/>
          <w:lang w:val="en-US"/>
        </w:rPr>
        <w:t>Nazariyesine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dayanan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ve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açıklayıcı</w:t>
      </w:r>
      <w:proofErr w:type="spellEnd"/>
      <w:r w:rsidRPr="00F931E7">
        <w:rPr>
          <w:rFonts w:cstheme="minorHAnsi"/>
          <w:bCs/>
          <w:sz w:val="20"/>
          <w:szCs w:val="20"/>
          <w:lang w:val="en-US"/>
        </w:rPr>
        <w:t xml:space="preserve"> durum </w:t>
      </w:r>
      <w:proofErr w:type="spellStart"/>
      <w:r w:rsidRPr="00F931E7">
        <w:rPr>
          <w:rFonts w:cstheme="minorHAnsi"/>
          <w:bCs/>
          <w:sz w:val="20"/>
          <w:szCs w:val="20"/>
          <w:lang w:val="en-US"/>
        </w:rPr>
        <w:t>çalışması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yoluyla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nicel</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araştırma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yöntemi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kullanılarak</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analiz</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edilmiştir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Sonuçlar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göstermektedir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ki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Nursi’nin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hazır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ve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gelecekte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öngördüğü</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muhataplarına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yaptığı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müsbet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hareket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çağrısı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özellikle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Müslümanlara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ait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altı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dehşetli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hastalığı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tedavi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etmek</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için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sunduğu</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altı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Kelime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içinde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verilmiştir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Dinleyici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üzerinde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yoğunlaştığı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için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çalışmanın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sınırlılıklarına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rağmen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herhangi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hitabet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durumunda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olumlu</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değişim</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için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gerekli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olan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dinleyici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hareketleri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aracılığı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ile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önemli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rol</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oynadığından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dikkate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değer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sonuçlar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ortaya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çıkmıştır</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Çalışmanın</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ortaya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koyduğu</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sonuçlar</w:t>
      </w:r>
      <w:proofErr w:type="spellEnd"/>
      <w:r w:rsidRPr="00F931E7">
        <w:rPr>
          <w:rFonts w:cstheme="minorHAnsi"/>
          <w:bCs/>
          <w:sz w:val="20"/>
          <w:szCs w:val="20"/>
          <w:lang w:val="en-US"/>
        </w:rPr>
        <w:t xml:space="preserve"> hem </w:t>
      </w:r>
      <w:proofErr w:type="spellStart"/>
      <w:r w:rsidRPr="00F931E7">
        <w:rPr>
          <w:rFonts w:cstheme="minorHAnsi"/>
          <w:bCs/>
          <w:sz w:val="20"/>
          <w:szCs w:val="20"/>
          <w:lang w:val="en-US"/>
        </w:rPr>
        <w:t>dinleyici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çalışmalarına</w:t>
      </w:r>
      <w:proofErr w:type="spellEnd"/>
      <w:r w:rsidRPr="00F931E7">
        <w:rPr>
          <w:rFonts w:cstheme="minorHAnsi"/>
          <w:bCs/>
          <w:sz w:val="20"/>
          <w:szCs w:val="20"/>
          <w:lang w:val="en-US"/>
        </w:rPr>
        <w:t xml:space="preserve">, hem </w:t>
      </w:r>
      <w:proofErr w:type="spellStart"/>
      <w:r w:rsidRPr="00F931E7">
        <w:rPr>
          <w:rFonts w:cstheme="minorHAnsi"/>
          <w:bCs/>
          <w:sz w:val="20"/>
          <w:szCs w:val="20"/>
          <w:lang w:val="en-US"/>
        </w:rPr>
        <w:t>konuşmacıyı</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bilinçlendirme</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durumuna</w:t>
      </w:r>
      <w:proofErr w:type="spellEnd"/>
      <w:r w:rsidRPr="00F931E7">
        <w:rPr>
          <w:rFonts w:cstheme="minorHAnsi"/>
          <w:bCs/>
          <w:sz w:val="20"/>
          <w:szCs w:val="20"/>
          <w:lang w:val="en-US"/>
        </w:rPr>
        <w:t xml:space="preserve"> hem de </w:t>
      </w:r>
      <w:proofErr w:type="spellStart"/>
      <w:r w:rsidRPr="00F931E7">
        <w:rPr>
          <w:rFonts w:cstheme="minorHAnsi"/>
          <w:bCs/>
          <w:sz w:val="20"/>
          <w:szCs w:val="20"/>
          <w:lang w:val="en-US"/>
        </w:rPr>
        <w:t>hitabet</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alanındaki</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çalışmalara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katkılarda</w:t>
      </w:r>
      <w:proofErr w:type="spellEnd"/>
      <w:r w:rsidRPr="00F931E7">
        <w:rPr>
          <w:rFonts w:cstheme="minorHAnsi"/>
          <w:bCs/>
          <w:sz w:val="20"/>
          <w:szCs w:val="20"/>
          <w:lang w:val="en-US"/>
        </w:rPr>
        <w:t xml:space="preserve"> </w:t>
      </w:r>
      <w:proofErr w:type="spellStart"/>
      <w:r w:rsidRPr="00F931E7">
        <w:rPr>
          <w:rFonts w:cstheme="minorHAnsi"/>
          <w:bCs/>
          <w:sz w:val="20"/>
          <w:szCs w:val="20"/>
          <w:lang w:val="en-US"/>
        </w:rPr>
        <w:t>bulunabilir</w:t>
      </w:r>
      <w:proofErr w:type="spellEnd"/>
      <w:r w:rsidRPr="00F931E7">
        <w:rPr>
          <w:rFonts w:cstheme="minorHAnsi"/>
          <w:bCs/>
          <w:sz w:val="20"/>
          <w:szCs w:val="20"/>
          <w:lang w:val="en-US"/>
        </w:rPr>
        <w:t>.</w:t>
      </w:r>
    </w:p>
    <w:p w:rsidR="00D308E2" w:rsidRPr="00F931E7" w:rsidRDefault="00D308E2" w:rsidP="00AE337C">
      <w:pPr>
        <w:spacing w:after="120" w:line="240" w:lineRule="auto"/>
        <w:ind w:firstLine="567"/>
        <w:jc w:val="both"/>
        <w:rPr>
          <w:rFonts w:cstheme="minorHAnsi"/>
          <w:bCs/>
          <w:iCs/>
          <w:sz w:val="20"/>
          <w:szCs w:val="20"/>
          <w:lang w:val="en-US"/>
        </w:rPr>
      </w:pPr>
      <w:proofErr w:type="spellStart"/>
      <w:r w:rsidRPr="00F931E7">
        <w:rPr>
          <w:rFonts w:cstheme="minorHAnsi"/>
          <w:b/>
          <w:lang w:val="en-US"/>
        </w:rPr>
        <w:t>Anahtar</w:t>
      </w:r>
      <w:proofErr w:type="spellEnd"/>
      <w:r w:rsidRPr="00F931E7">
        <w:rPr>
          <w:rFonts w:cstheme="minorHAnsi"/>
          <w:b/>
          <w:lang w:val="en-US"/>
        </w:rPr>
        <w:t xml:space="preserve"> </w:t>
      </w:r>
      <w:proofErr w:type="spellStart"/>
      <w:r w:rsidRPr="00F931E7">
        <w:rPr>
          <w:rFonts w:cstheme="minorHAnsi"/>
          <w:b/>
          <w:lang w:val="en-US"/>
        </w:rPr>
        <w:t>Kelimeler</w:t>
      </w:r>
      <w:proofErr w:type="spellEnd"/>
      <w:r w:rsidRPr="00F931E7">
        <w:rPr>
          <w:rFonts w:cstheme="minorHAnsi"/>
          <w:b/>
          <w:sz w:val="20"/>
          <w:szCs w:val="20"/>
          <w:lang w:val="en-US"/>
        </w:rPr>
        <w:t xml:space="preserve">: </w:t>
      </w:r>
      <w:r w:rsidRPr="00F931E7">
        <w:rPr>
          <w:rFonts w:cstheme="minorHAnsi"/>
          <w:iCs/>
          <w:sz w:val="20"/>
          <w:szCs w:val="20"/>
          <w:lang w:val="en-US"/>
        </w:rPr>
        <w:t xml:space="preserve">Bediüzzaman Said </w:t>
      </w:r>
      <w:proofErr w:type="spellStart"/>
      <w:r w:rsidRPr="00F931E7">
        <w:rPr>
          <w:rFonts w:cstheme="minorHAnsi"/>
          <w:iCs/>
          <w:sz w:val="20"/>
          <w:szCs w:val="20"/>
          <w:lang w:val="en-US"/>
        </w:rPr>
        <w:t>Nursi</w:t>
      </w:r>
      <w:proofErr w:type="spellEnd"/>
      <w:r w:rsidRPr="00F931E7">
        <w:rPr>
          <w:rFonts w:cstheme="minorHAnsi"/>
          <w:iCs/>
          <w:sz w:val="20"/>
          <w:szCs w:val="20"/>
          <w:lang w:val="en-US"/>
        </w:rPr>
        <w:t xml:space="preserve">, </w:t>
      </w:r>
      <w:proofErr w:type="spellStart"/>
      <w:r w:rsidRPr="00F931E7">
        <w:rPr>
          <w:rFonts w:cstheme="minorHAnsi"/>
          <w:iCs/>
          <w:sz w:val="20"/>
          <w:szCs w:val="20"/>
          <w:lang w:val="en-US"/>
        </w:rPr>
        <w:t>Hutbe-i</w:t>
      </w:r>
      <w:proofErr w:type="spellEnd"/>
      <w:r w:rsidRPr="00F931E7">
        <w:rPr>
          <w:rFonts w:cstheme="minorHAnsi"/>
          <w:iCs/>
          <w:sz w:val="20"/>
          <w:szCs w:val="20"/>
          <w:lang w:val="en-US"/>
        </w:rPr>
        <w:t xml:space="preserve"> </w:t>
      </w:r>
      <w:proofErr w:type="spellStart"/>
      <w:r w:rsidRPr="00F931E7">
        <w:rPr>
          <w:rFonts w:cstheme="minorHAnsi"/>
          <w:iCs/>
          <w:sz w:val="20"/>
          <w:szCs w:val="20"/>
          <w:lang w:val="en-US"/>
        </w:rPr>
        <w:t>Şamiye</w:t>
      </w:r>
      <w:proofErr w:type="spellEnd"/>
      <w:r w:rsidRPr="00F931E7">
        <w:rPr>
          <w:rFonts w:cstheme="minorHAnsi"/>
          <w:iCs/>
          <w:sz w:val="20"/>
          <w:szCs w:val="20"/>
          <w:lang w:val="en-US"/>
        </w:rPr>
        <w:t xml:space="preserve">, </w:t>
      </w:r>
      <w:proofErr w:type="spellStart"/>
      <w:r w:rsidRPr="00F931E7">
        <w:rPr>
          <w:rFonts w:cstheme="minorHAnsi"/>
          <w:iCs/>
          <w:sz w:val="20"/>
          <w:szCs w:val="20"/>
          <w:lang w:val="en-US"/>
        </w:rPr>
        <w:t>Dinle</w:t>
      </w:r>
      <w:r w:rsidR="00DA5B59" w:rsidRPr="00F931E7">
        <w:rPr>
          <w:rFonts w:cstheme="minorHAnsi"/>
          <w:iCs/>
          <w:sz w:val="20"/>
          <w:szCs w:val="20"/>
          <w:lang w:val="en-US"/>
        </w:rPr>
        <w:t>yicinin</w:t>
      </w:r>
      <w:proofErr w:type="spellEnd"/>
      <w:r w:rsidR="00DA5B59" w:rsidRPr="00F931E7">
        <w:rPr>
          <w:rFonts w:cstheme="minorHAnsi"/>
          <w:iCs/>
          <w:sz w:val="20"/>
          <w:szCs w:val="20"/>
          <w:lang w:val="en-US"/>
        </w:rPr>
        <w:t xml:space="preserve"> </w:t>
      </w:r>
      <w:proofErr w:type="spellStart"/>
      <w:r w:rsidR="00DA5B59" w:rsidRPr="00F931E7">
        <w:rPr>
          <w:rFonts w:cstheme="minorHAnsi"/>
          <w:iCs/>
          <w:sz w:val="20"/>
          <w:szCs w:val="20"/>
          <w:lang w:val="en-US"/>
        </w:rPr>
        <w:t>Y</w:t>
      </w:r>
      <w:r w:rsidRPr="00F931E7">
        <w:rPr>
          <w:rFonts w:cstheme="minorHAnsi"/>
          <w:iCs/>
          <w:sz w:val="20"/>
          <w:szCs w:val="20"/>
          <w:lang w:val="en-US"/>
        </w:rPr>
        <w:t>ansıtılması</w:t>
      </w:r>
      <w:proofErr w:type="spellEnd"/>
      <w:r w:rsidR="00DA5B59" w:rsidRPr="00F931E7">
        <w:rPr>
          <w:rFonts w:cstheme="minorHAnsi"/>
          <w:iCs/>
          <w:sz w:val="20"/>
          <w:szCs w:val="20"/>
          <w:lang w:val="en-US"/>
        </w:rPr>
        <w:t xml:space="preserve">, </w:t>
      </w:r>
      <w:proofErr w:type="spellStart"/>
      <w:r w:rsidR="00DA5B59" w:rsidRPr="00F931E7">
        <w:rPr>
          <w:rFonts w:cstheme="minorHAnsi"/>
          <w:iCs/>
          <w:sz w:val="20"/>
          <w:szCs w:val="20"/>
          <w:lang w:val="en-US"/>
        </w:rPr>
        <w:t>Müsbet</w:t>
      </w:r>
      <w:proofErr w:type="spellEnd"/>
      <w:r w:rsidR="00DA5B59" w:rsidRPr="00F931E7">
        <w:rPr>
          <w:rFonts w:cstheme="minorHAnsi"/>
          <w:iCs/>
          <w:sz w:val="20"/>
          <w:szCs w:val="20"/>
          <w:lang w:val="en-US"/>
        </w:rPr>
        <w:t xml:space="preserve"> </w:t>
      </w:r>
      <w:proofErr w:type="spellStart"/>
      <w:r w:rsidR="00DA5B59" w:rsidRPr="00F931E7">
        <w:rPr>
          <w:rFonts w:cstheme="minorHAnsi"/>
          <w:iCs/>
          <w:sz w:val="20"/>
          <w:szCs w:val="20"/>
          <w:lang w:val="en-US"/>
        </w:rPr>
        <w:t>Hareket</w:t>
      </w:r>
      <w:proofErr w:type="spellEnd"/>
      <w:r w:rsidR="00DA5B59" w:rsidRPr="00F931E7">
        <w:rPr>
          <w:rFonts w:cstheme="minorHAnsi"/>
          <w:iCs/>
          <w:sz w:val="20"/>
          <w:szCs w:val="20"/>
          <w:lang w:val="en-US"/>
        </w:rPr>
        <w:t xml:space="preserve"> </w:t>
      </w:r>
      <w:proofErr w:type="spellStart"/>
      <w:r w:rsidR="00DA5B59" w:rsidRPr="00F931E7">
        <w:rPr>
          <w:rFonts w:cstheme="minorHAnsi"/>
          <w:iCs/>
          <w:sz w:val="20"/>
          <w:szCs w:val="20"/>
          <w:lang w:val="en-US"/>
        </w:rPr>
        <w:t>Çağrısı</w:t>
      </w:r>
      <w:proofErr w:type="spellEnd"/>
      <w:r w:rsidR="00DA5B59" w:rsidRPr="00F931E7">
        <w:rPr>
          <w:rFonts w:cstheme="minorHAnsi"/>
          <w:iCs/>
          <w:sz w:val="20"/>
          <w:szCs w:val="20"/>
          <w:lang w:val="en-US"/>
        </w:rPr>
        <w:t xml:space="preserve">, </w:t>
      </w:r>
      <w:proofErr w:type="spellStart"/>
      <w:r w:rsidR="00DA5B59" w:rsidRPr="00F931E7">
        <w:rPr>
          <w:rFonts w:cstheme="minorHAnsi"/>
          <w:iCs/>
          <w:sz w:val="20"/>
          <w:szCs w:val="20"/>
          <w:lang w:val="en-US"/>
        </w:rPr>
        <w:t>Dinleyici</w:t>
      </w:r>
      <w:proofErr w:type="spellEnd"/>
      <w:r w:rsidR="00DA5B59" w:rsidRPr="00F931E7">
        <w:rPr>
          <w:rFonts w:cstheme="minorHAnsi"/>
          <w:iCs/>
          <w:sz w:val="20"/>
          <w:szCs w:val="20"/>
          <w:lang w:val="en-US"/>
        </w:rPr>
        <w:t xml:space="preserve"> </w:t>
      </w:r>
      <w:proofErr w:type="spellStart"/>
      <w:r w:rsidR="00DA5B59" w:rsidRPr="00F931E7">
        <w:rPr>
          <w:rFonts w:cstheme="minorHAnsi"/>
          <w:iCs/>
          <w:sz w:val="20"/>
          <w:szCs w:val="20"/>
          <w:lang w:val="en-US"/>
        </w:rPr>
        <w:t>H</w:t>
      </w:r>
      <w:r w:rsidRPr="00F931E7">
        <w:rPr>
          <w:rFonts w:cstheme="minorHAnsi"/>
          <w:iCs/>
          <w:sz w:val="20"/>
          <w:szCs w:val="20"/>
          <w:lang w:val="en-US"/>
        </w:rPr>
        <w:t>areketleri</w:t>
      </w:r>
      <w:proofErr w:type="spellEnd"/>
    </w:p>
    <w:p w:rsidR="00D308E2" w:rsidRPr="00AE337C" w:rsidRDefault="00D308E2" w:rsidP="00AE337C">
      <w:pPr>
        <w:spacing w:after="120" w:line="240" w:lineRule="auto"/>
        <w:ind w:firstLine="567"/>
        <w:jc w:val="both"/>
        <w:rPr>
          <w:rFonts w:cstheme="minorHAnsi"/>
          <w:b/>
          <w:lang w:val="en-US"/>
        </w:rPr>
      </w:pPr>
      <w:r w:rsidRPr="00AE337C">
        <w:rPr>
          <w:rFonts w:cstheme="minorHAnsi"/>
          <w:b/>
          <w:lang w:val="en-US"/>
        </w:rPr>
        <w:t>Introduction</w:t>
      </w:r>
    </w:p>
    <w:p w:rsidR="00D308E2" w:rsidRPr="00AE337C" w:rsidRDefault="00D308E2" w:rsidP="00AE337C">
      <w:pPr>
        <w:spacing w:after="120" w:line="240" w:lineRule="auto"/>
        <w:ind w:firstLine="567"/>
        <w:jc w:val="both"/>
        <w:rPr>
          <w:rFonts w:cstheme="minorHAnsi"/>
          <w:lang w:val="en-US"/>
        </w:rPr>
      </w:pPr>
      <w:r w:rsidRPr="00AE337C">
        <w:rPr>
          <w:rFonts w:cstheme="minorHAnsi"/>
          <w:lang w:val="en-US"/>
        </w:rPr>
        <w:t xml:space="preserve">Rhetorical situation occurs when there is an issue. The occurrence causes urgency in the situation as it invites a problem which calls for response. A rhetorical situation consists of the dimensions of exigence, constraints and audience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"Bitzer", "given" : "Lloyd F.", "non-dropping-particle" : "", "parse-names" : false, "suffix" : "" } ], "container-title" : "Rhetoric in transition: Studies in the nature and use of rhetoric", "editor" : [ { "dropping-particle" : "", "family" : "E.E.White", "given" : "", "non-dropping-particle" : "", "parse-names" : false, "suffix" : "" } ], "id" : "ITEM-1", "issued" : { "date-parts" : [ [ "1980" ] ] }, "page" : "21-38", "publisher" : "University Press", "publisher-place" : "PA: Pensylvanian State", "title" : "Functional communication: A situational perspective", "type" : "chapter" }, "uris" : [ "http://www.mendeley.com/documents/?uuid=423df3af-ebf3-49f1-a4ba-52fe77b498d6" ] } ], "mendeley" : { "formattedCitation" : "(Lloyd F. Bitzer, 1980)", "manualFormatting" : "(Bitzer, 1980)", "plainTextFormattedCitation" : "(Lloyd F. Bitzer, 1980)", "previouslyFormattedCitation" : "(Lloyd F. Bitzer, 1980)"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(Bitzer, 1980)</w:t>
      </w:r>
      <w:r w:rsidR="00A02014" w:rsidRPr="00AE337C">
        <w:rPr>
          <w:rFonts w:cstheme="minorHAnsi"/>
          <w:lang w:val="en-US"/>
        </w:rPr>
        <w:fldChar w:fldCharType="end"/>
      </w:r>
      <w:r w:rsidRPr="00AE337C">
        <w:rPr>
          <w:rFonts w:cstheme="minorHAnsi"/>
          <w:lang w:val="en-US"/>
        </w:rPr>
        <w:t xml:space="preserve">. According to Bitzer’s theory, the exigence is the urgency in the situation, the constraint is the response or solution while the audience is the group of people whom the orator targets. The orator and audience play a crucial role in eliminating the exigence through the </w:t>
      </w:r>
      <w:proofErr w:type="spellStart"/>
      <w:r w:rsidRPr="00AE337C">
        <w:rPr>
          <w:rFonts w:cstheme="minorHAnsi"/>
          <w:lang w:val="en-US"/>
        </w:rPr>
        <w:t>constraints.The</w:t>
      </w:r>
      <w:proofErr w:type="spellEnd"/>
      <w:r w:rsidRPr="00AE337C">
        <w:rPr>
          <w:rFonts w:cstheme="minorHAnsi"/>
          <w:lang w:val="en-US"/>
        </w:rPr>
        <w:t xml:space="preserve"> effectiveness of an orator’s persuasive skills can influence an audience to make changes, while the audience who are capable of being mediators of change can bring positive modification as the </w:t>
      </w:r>
      <w:proofErr w:type="spellStart"/>
      <w:r w:rsidRPr="00AE337C">
        <w:rPr>
          <w:rFonts w:cstheme="minorHAnsi"/>
          <w:lang w:val="en-US"/>
        </w:rPr>
        <w:t>result.There</w:t>
      </w:r>
      <w:proofErr w:type="spellEnd"/>
      <w:r w:rsidRPr="00AE337C">
        <w:rPr>
          <w:rFonts w:cstheme="minorHAnsi"/>
          <w:lang w:val="en-US"/>
        </w:rPr>
        <w:t xml:space="preserve"> are many studies that focus on the orator in a rhetorical analysis, but </w:t>
      </w:r>
      <w:proofErr w:type="spellStart"/>
      <w:r w:rsidRPr="00AE337C">
        <w:rPr>
          <w:rFonts w:cstheme="minorHAnsi"/>
          <w:lang w:val="en-US"/>
        </w:rPr>
        <w:t>lessfocus</w:t>
      </w:r>
      <w:proofErr w:type="spellEnd"/>
      <w:r w:rsidRPr="00AE337C">
        <w:rPr>
          <w:rFonts w:cstheme="minorHAnsi"/>
          <w:lang w:val="en-US"/>
        </w:rPr>
        <w:t xml:space="preserve"> on the projection of audience and their roles in a rhetorical situation. Hence, this study aims to </w:t>
      </w:r>
      <w:proofErr w:type="spellStart"/>
      <w:r w:rsidRPr="00AE337C">
        <w:rPr>
          <w:rFonts w:cstheme="minorHAnsi"/>
          <w:lang w:val="en-US"/>
        </w:rPr>
        <w:t>analyse</w:t>
      </w:r>
      <w:proofErr w:type="spellEnd"/>
      <w:r w:rsidRPr="00AE337C">
        <w:rPr>
          <w:rFonts w:cstheme="minorHAnsi"/>
          <w:lang w:val="en-US"/>
        </w:rPr>
        <w:t xml:space="preserve"> the rhetorical audience in a sermon delivered by Bediuzzaman Said </w:t>
      </w:r>
      <w:proofErr w:type="spellStart"/>
      <w:r w:rsidRPr="00AE337C">
        <w:rPr>
          <w:rFonts w:cstheme="minorHAnsi"/>
          <w:lang w:val="en-US"/>
        </w:rPr>
        <w:t>Nursi</w:t>
      </w:r>
      <w:proofErr w:type="spellEnd"/>
      <w:r w:rsidRPr="00AE337C">
        <w:rPr>
          <w:rFonts w:cstheme="minorHAnsi"/>
          <w:lang w:val="en-US"/>
        </w:rPr>
        <w:t xml:space="preserve"> (1877-1960). </w:t>
      </w:r>
      <w:proofErr w:type="spellStart"/>
      <w:r w:rsidRPr="00AE337C">
        <w:rPr>
          <w:rFonts w:cstheme="minorHAnsi"/>
          <w:lang w:val="en-US"/>
        </w:rPr>
        <w:t>Nursi’s</w:t>
      </w:r>
      <w:proofErr w:type="spellEnd"/>
      <w:r w:rsidRPr="00AE337C">
        <w:rPr>
          <w:rFonts w:cstheme="minorHAnsi"/>
          <w:lang w:val="en-US"/>
        </w:rPr>
        <w:t xml:space="preserve"> ideas and thoughts have been influencing millions of adherents that includes </w:t>
      </w:r>
      <w:r w:rsidRPr="00AE337C">
        <w:rPr>
          <w:rFonts w:cstheme="minorHAnsi"/>
          <w:i/>
          <w:lang w:val="en-US"/>
        </w:rPr>
        <w:t>Nur community</w:t>
      </w:r>
      <w:r w:rsidRPr="00AE337C">
        <w:rPr>
          <w:rFonts w:cstheme="minorHAnsi"/>
          <w:lang w:val="en-US"/>
        </w:rPr>
        <w:t xml:space="preserve">, one of the most leading religious social movements in the present Turkey </w:t>
      </w:r>
      <w:r w:rsidR="00A02014" w:rsidRPr="00AE337C">
        <w:rPr>
          <w:rFonts w:cstheme="minorHAnsi"/>
          <w:lang w:val="en-US"/>
        </w:rPr>
        <w:fldChar w:fldCharType="begin" w:fldLock="1"/>
      </w:r>
      <w:r w:rsidRPr="00AE337C">
        <w:rPr>
          <w:rFonts w:cstheme="minorHAnsi"/>
          <w:lang w:val="en-US"/>
        </w:rPr>
        <w:instrText>ADDIN CSL_CITATION { "citationItems" : [ { "id" : "ITEM-1", "itemData" : { "ISBN" : "0791478157, 9780791478158", "author" : [ { "dropping-particle" : "", "family" : "Abu-Rabi'", "given" : "Ibrahim M.", "non-dropping-particle" : "", "parse-names" : false, "suffix" : "" } ], "id" : "ITEM-1", "issued" : { "date-parts" : [ [ "2008" ] ] }, "number-of-pages" : "448", "publisher" : "Suny Press", "title" : "Spiritual Dimensions of Bediuzzaman Said Nursi's Risale-I Nur", "type" : "book" }, "uris" : [ "http://www.mendeley.com/documents/?uuid=bc3d738d-a4c0-424e-9040-0fafc3b33004" ] } ], "mendeley" : { "formattedCitation" : "(Abu-Rabi\u2019, 2008a)", "plainTextFormattedCitation" : "(Abu-Rabi\u2019, 2008a)", "previouslyFormattedCitation" : "(Abu-Rabi\u2019, 2008a)"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(Abu-Rabi,' 2008a)</w:t>
      </w:r>
      <w:r w:rsidR="00A02014" w:rsidRPr="00AE337C">
        <w:rPr>
          <w:rFonts w:cstheme="minorHAnsi"/>
          <w:lang w:val="en-US"/>
        </w:rPr>
        <w:fldChar w:fldCharType="end"/>
      </w:r>
      <w:r w:rsidRPr="00AE337C">
        <w:rPr>
          <w:rFonts w:cstheme="minorHAnsi"/>
          <w:lang w:val="en-US"/>
        </w:rPr>
        <w:t xml:space="preserve">. However, there are fewer studies on how they were influenced by </w:t>
      </w:r>
      <w:proofErr w:type="spellStart"/>
      <w:r w:rsidRPr="00AE337C">
        <w:rPr>
          <w:rFonts w:cstheme="minorHAnsi"/>
          <w:lang w:val="en-US"/>
        </w:rPr>
        <w:t>Nursi’s</w:t>
      </w:r>
      <w:proofErr w:type="spellEnd"/>
      <w:r w:rsidRPr="00AE337C">
        <w:rPr>
          <w:rFonts w:cstheme="minorHAnsi"/>
          <w:lang w:val="en-US"/>
        </w:rPr>
        <w:t xml:space="preserve"> writings and the importance of their roles as rhetorical audience. Therefore, this study aims to analysis one of </w:t>
      </w:r>
      <w:proofErr w:type="spellStart"/>
      <w:r w:rsidRPr="00AE337C">
        <w:rPr>
          <w:rFonts w:cstheme="minorHAnsi"/>
          <w:lang w:val="en-US"/>
        </w:rPr>
        <w:t>Nursi’s</w:t>
      </w:r>
      <w:proofErr w:type="spellEnd"/>
      <w:r w:rsidRPr="00AE337C">
        <w:rPr>
          <w:rFonts w:cstheme="minorHAnsi"/>
          <w:lang w:val="en-US"/>
        </w:rPr>
        <w:t xml:space="preserve"> writing, </w:t>
      </w:r>
      <w:r w:rsidRPr="00AE337C">
        <w:rPr>
          <w:rFonts w:cstheme="minorHAnsi"/>
          <w:i/>
          <w:lang w:val="en-US"/>
        </w:rPr>
        <w:t>Damascus Sermon</w:t>
      </w:r>
      <w:r w:rsidRPr="00AE337C">
        <w:rPr>
          <w:rFonts w:cstheme="minorHAnsi"/>
          <w:lang w:val="en-US"/>
        </w:rPr>
        <w:t xml:space="preserve"> delivered in the Umayyad Mosque </w:t>
      </w:r>
      <w:r w:rsidRPr="00AE337C">
        <w:rPr>
          <w:rFonts w:cstheme="minorHAnsi"/>
          <w:lang w:val="en-US"/>
        </w:rPr>
        <w:lastRenderedPageBreak/>
        <w:t xml:space="preserve">in 1911 in order to explain </w:t>
      </w:r>
      <w:proofErr w:type="spellStart"/>
      <w:r w:rsidRPr="00AE337C">
        <w:rPr>
          <w:rFonts w:cstheme="minorHAnsi"/>
          <w:lang w:val="en-US"/>
        </w:rPr>
        <w:t>Nursi’s</w:t>
      </w:r>
      <w:proofErr w:type="spellEnd"/>
      <w:r w:rsidRPr="00AE337C">
        <w:rPr>
          <w:rFonts w:cstheme="minorHAnsi"/>
          <w:lang w:val="en-US"/>
        </w:rPr>
        <w:t xml:space="preserve"> call to his rhetorical audience to be mediator of change.</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1</w:t>
      </w:r>
      <w:r w:rsidR="00D308E2" w:rsidRPr="00AE337C">
        <w:rPr>
          <w:rFonts w:cstheme="minorHAnsi"/>
          <w:b/>
          <w:lang w:val="en-US"/>
        </w:rPr>
        <w:t>. Literature Review</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1</w:t>
      </w:r>
      <w:r w:rsidR="00D308E2" w:rsidRPr="00AE337C">
        <w:rPr>
          <w:rFonts w:cstheme="minorHAnsi"/>
          <w:b/>
          <w:lang w:val="en-US"/>
        </w:rPr>
        <w:t>.1. Rhetorical Situation</w:t>
      </w:r>
    </w:p>
    <w:p w:rsidR="00D308E2" w:rsidRPr="00AE337C" w:rsidRDefault="00D308E2" w:rsidP="00AE337C">
      <w:pPr>
        <w:spacing w:after="120" w:line="240" w:lineRule="auto"/>
        <w:ind w:firstLine="567"/>
        <w:jc w:val="both"/>
        <w:rPr>
          <w:rFonts w:cstheme="minorHAnsi"/>
          <w:lang w:val="en-US"/>
        </w:rPr>
      </w:pPr>
      <w:r w:rsidRPr="00AE337C">
        <w:rPr>
          <w:rFonts w:cstheme="minorHAnsi"/>
          <w:lang w:val="en-US"/>
        </w:rPr>
        <w:t xml:space="preserve">This study uses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"Bitzer", "given" : "Lloyd F.", "non-dropping-particle" : "", "parse-names" : false, "suffix" : "" } ], "container-title" : "Contemporary Rhetorical Theory", "editor" : [ { "dropping-particle" : "", "family" : "Luraites", "given" : "John", "non-dropping-particle" : "", "parse-names" : false, "suffix" : "" }, { "dropping-particle" : "", "family" : "Condit", "given" : "Celeste", "non-dropping-particle" : "", "parse-names" : false, "suffix" : "" }, { "dropping-particle" : "", "family" : "Caudill", "given" : "Sally", "non-dropping-particle" : "", "parse-names" : false, "suffix" : "" } ], "id" : "ITEM-1", "issued" : { "date-parts" : [ [ "1968" ] ] }, "page" : "217-225", "publisher" : "Guilford Press", "publisher-place" : "New Jersey, USA", "title" : "The Rhetorical Situation. Philosophy and Rhetoric", "type" : "chapter" }, "uris" : [ "http://www.mendeley.com/documents/?uuid=37c90812-ddd6-4d6b-8e58-830d081bf970" ] } ], "mendeley" : { "formattedCitation" : "(Lloyd F. Bitzer, 1968)", "manualFormatting" : "Bitzer's (1968)", "plainTextFormattedCitation" : "(Lloyd F. Bitzer, 1968)", "previouslyFormattedCitation" : "(Lloyd F. Bitzer, 1968)"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Bitzer's (1968)</w:t>
      </w:r>
      <w:r w:rsidR="00A02014" w:rsidRPr="00AE337C">
        <w:rPr>
          <w:rFonts w:cstheme="minorHAnsi"/>
          <w:lang w:val="en-US"/>
        </w:rPr>
        <w:fldChar w:fldCharType="end"/>
      </w:r>
      <w:r w:rsidRPr="00AE337C">
        <w:rPr>
          <w:rFonts w:cstheme="minorHAnsi"/>
          <w:lang w:val="en-US"/>
        </w:rPr>
        <w:t xml:space="preserve"> rhetorical situation theory to </w:t>
      </w:r>
      <w:proofErr w:type="spellStart"/>
      <w:r w:rsidRPr="00AE337C">
        <w:rPr>
          <w:rFonts w:cstheme="minorHAnsi"/>
          <w:lang w:val="en-US"/>
        </w:rPr>
        <w:t>analyse</w:t>
      </w:r>
      <w:proofErr w:type="spellEnd"/>
      <w:r w:rsidRPr="00AE337C">
        <w:rPr>
          <w:rFonts w:cstheme="minorHAnsi"/>
          <w:lang w:val="en-US"/>
        </w:rPr>
        <w:t xml:space="preserve"> the rhetorical audience in </w:t>
      </w:r>
      <w:r w:rsidRPr="00AE337C">
        <w:rPr>
          <w:rFonts w:cstheme="minorHAnsi"/>
          <w:i/>
          <w:lang w:val="en-US"/>
        </w:rPr>
        <w:t>Damascus Sermon</w:t>
      </w:r>
      <w:r w:rsidRPr="00AE337C">
        <w:rPr>
          <w:rFonts w:cstheme="minorHAnsi"/>
          <w:lang w:val="en-US"/>
        </w:rPr>
        <w:t xml:space="preserve">. According to Bitzer, a rhetorical situation does not refer to the setting where the orator and audience interact in a historical context as “A work is rhetorical because it is a response to a situation of a certain kind”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"Bitzer", "given" : "Lloyd F.", "non-dropping-particle" : "", "parse-names" : false, "suffix" : "" } ], "container-title" : "Contemporary Rhetorical Theory", "editor" : [ { "dropping-particle" : "", "family" : "Luraites", "given" : "John", "non-dropping-particle" : "", "parse-names" : false, "suffix" : "" }, { "dropping-particle" : "", "family" : "Condit", "given" : "Celeste", "non-dropping-particle" : "", "parse-names" : false, "suffix" : "" }, { "dropping-particle" : "", "family" : "Caudill", "given" : "Sally", "non-dropping-particle" : "", "parse-names" : false, "suffix" : "" } ], "id" : "ITEM-1", "issued" : { "date-parts" : [ [ "1968" ] ] }, "page" : "217-225", "publisher" : "Guilford Press", "publisher-place" : "New Jersey, USA", "title" : "The Rhetorical Situation. Philosophy and Rhetoric", "type" : "chapter" }, "uris" : [ "http://www.mendeley.com/documents/?uuid=37c90812-ddd6-4d6b-8e58-830d081bf970" ] } ], "mendeley" : { "formattedCitation" : "(Lloyd F. Bitzer, 1968)", "manualFormatting" : "(p. 3)", "plainTextFormattedCitation" : "(Lloyd F. Bitzer, 1968)", "previouslyFormattedCitation" : "(Lloyd F. Bitzer, 1968)"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(p.3)</w:t>
      </w:r>
      <w:r w:rsidR="00A02014" w:rsidRPr="00AE337C">
        <w:rPr>
          <w:rFonts w:cstheme="minorHAnsi"/>
          <w:lang w:val="en-US"/>
        </w:rPr>
        <w:fldChar w:fldCharType="end"/>
      </w:r>
      <w:r w:rsidRPr="00AE337C">
        <w:rPr>
          <w:rFonts w:cstheme="minorHAnsi"/>
          <w:lang w:val="en-US"/>
        </w:rPr>
        <w:t xml:space="preserve">. He says rhetorical situation exists in response to a situation and invites a discourse capable of being a fitting response to the situation. It consists of the dimensions of exigence, audience and constraints. An exigence is “a defect, an obstacle, something waiting to be done” (p. 6), and only exigencies that can be modified are rhetorical. The rhetorical audience, “consists of only those who are capable of being influenced by the discourse and being mediators of change” (p. 8), while the constraints consist of “beliefs, attitudes, documents, </w:t>
      </w:r>
      <w:proofErr w:type="spellStart"/>
      <w:r w:rsidRPr="00AE337C">
        <w:rPr>
          <w:rFonts w:cstheme="minorHAnsi"/>
          <w:lang w:val="en-US"/>
        </w:rPr>
        <w:t>etc</w:t>
      </w:r>
      <w:proofErr w:type="spellEnd"/>
      <w:r w:rsidRPr="00AE337C">
        <w:rPr>
          <w:rFonts w:cstheme="minorHAnsi"/>
          <w:lang w:val="en-US"/>
        </w:rPr>
        <w:t>” (p.8) that can modify the exigence.</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1</w:t>
      </w:r>
      <w:r w:rsidR="00D308E2" w:rsidRPr="00AE337C">
        <w:rPr>
          <w:rFonts w:cstheme="minorHAnsi"/>
          <w:b/>
          <w:lang w:val="en-US"/>
        </w:rPr>
        <w:t>.2. Related studies</w:t>
      </w:r>
    </w:p>
    <w:p w:rsidR="00D308E2" w:rsidRPr="00AE337C" w:rsidRDefault="00A02014" w:rsidP="00AE337C">
      <w:pPr>
        <w:spacing w:after="120" w:line="240" w:lineRule="auto"/>
        <w:ind w:firstLine="567"/>
        <w:jc w:val="both"/>
        <w:rPr>
          <w:rFonts w:cstheme="minorHAnsi"/>
          <w:lang w:val="en-US"/>
        </w:rPr>
      </w:pPr>
      <w:r w:rsidRPr="00AE337C">
        <w:rPr>
          <w:rFonts w:cstheme="minorHAnsi"/>
          <w:lang w:val="en-US"/>
        </w:rPr>
        <w:fldChar w:fldCharType="begin" w:fldLock="1"/>
      </w:r>
      <w:r w:rsidR="00D308E2" w:rsidRPr="00AE337C">
        <w:rPr>
          <w:rFonts w:cstheme="minorHAnsi"/>
          <w:lang w:val="en-US"/>
        </w:rPr>
        <w:instrText>ADDIN CSL_CITATION { "citationItems" : [ { "id" : "ITEM-1", "itemData" : { "author" : [ { "dropping-particle" : "", "family" : "Earle", "given" : "Elizabeth R", "non-dropping-particle" : "", "parse-names" : false, "suffix" : "" } ], "id" : "ITEM-1", "issued" : { "date-parts" : [ [ "2014" ] ] }, "publisher" : "Louisiana State University", "title" : "Paul Tillich's Communication Theology and the Rhetoric of Existentialism", "type" : "thesis" }, "uris" : [ "http://www.mendeley.com/documents/?uuid=921b0e27-8f10-4656-a6c5-75585f5d5e9b" ] } ], "mendeley" : { "formattedCitation" : "(Earle, 2014)", "manualFormatting" : "Earle (2014)", "plainTextFormattedCitation" : "(Earle, 2014)", "previouslyFormattedCitation" : "(Earle, 2014)" }, "properties" : { "noteIndex" : 0 }, "schema" : "https://github.com/citation-style-language/schema/raw/master/csl-citation.json" }</w:instrText>
      </w:r>
      <w:r w:rsidRPr="00AE337C">
        <w:rPr>
          <w:rFonts w:cstheme="minorHAnsi"/>
          <w:lang w:val="en-US"/>
        </w:rPr>
        <w:fldChar w:fldCharType="separate"/>
      </w:r>
      <w:r w:rsidR="00D308E2" w:rsidRPr="00AE337C">
        <w:rPr>
          <w:rFonts w:cstheme="minorHAnsi"/>
          <w:noProof/>
          <w:lang w:val="en-US"/>
        </w:rPr>
        <w:t>Earle (2014)</w:t>
      </w:r>
      <w:r w:rsidRPr="00AE337C">
        <w:rPr>
          <w:rFonts w:cstheme="minorHAnsi"/>
          <w:lang w:val="en-US"/>
        </w:rPr>
        <w:fldChar w:fldCharType="end"/>
      </w:r>
      <w:r w:rsidR="00D308E2" w:rsidRPr="00AE337C">
        <w:rPr>
          <w:rFonts w:cstheme="minorHAnsi"/>
          <w:lang w:val="en-US"/>
        </w:rPr>
        <w:t xml:space="preserve"> examined Paul Tillich’s sermons selected from the three volumes on the rhetorical situation.</w:t>
      </w:r>
      <w:r w:rsidR="007C4A70" w:rsidRPr="00AE337C">
        <w:rPr>
          <w:rFonts w:cstheme="minorHAnsi"/>
          <w:lang w:val="en-US"/>
        </w:rPr>
        <w:t xml:space="preserve"> </w:t>
      </w:r>
      <w:r w:rsidR="00D308E2" w:rsidRPr="00AE337C">
        <w:rPr>
          <w:rFonts w:cstheme="minorHAnsi"/>
          <w:lang w:val="en-US"/>
        </w:rPr>
        <w:t xml:space="preserve">Paul is a theologian and philosopher who uses language to assert the significance of Christianity and believes that religion could only be understood in culture’s surrounding context. In order to confront the exigencies with the constraints, Paul uses the sermons to reach the audience by translating religious language to a language of the culture in order to make his theological thoughts more accessible. This method creates a communion between the audience and himself. Thus, through his method of approaching the audience, he has created an interaction through persuasion. He has managed to create a connection with the audience as he has something to offer them and something they can receive. </w:t>
      </w:r>
    </w:p>
    <w:p w:rsidR="00D308E2" w:rsidRPr="00AE337C" w:rsidRDefault="00A02014" w:rsidP="00AE337C">
      <w:pPr>
        <w:spacing w:after="120" w:line="240" w:lineRule="auto"/>
        <w:ind w:firstLine="567"/>
        <w:jc w:val="both"/>
        <w:rPr>
          <w:rFonts w:cstheme="minorHAnsi"/>
          <w:lang w:val="en-US"/>
        </w:rPr>
      </w:pPr>
      <w:r w:rsidRPr="00AE337C">
        <w:rPr>
          <w:rFonts w:cstheme="minorHAnsi"/>
          <w:lang w:val="en-US"/>
        </w:rPr>
        <w:fldChar w:fldCharType="begin" w:fldLock="1"/>
      </w:r>
      <w:r w:rsidR="00D308E2" w:rsidRPr="00AE337C">
        <w:rPr>
          <w:rFonts w:cstheme="minorHAnsi"/>
          <w:lang w:val="en-US"/>
        </w:rPr>
        <w:instrText>ADDIN CSL_CITATION { "citationItems" : [ { "id" : "ITEM-1", "itemData" : { "author" : [ { "dropping-particle" : "", "family" : "Willhite", "given" : "R. Keith", "non-dropping-particle" : "", "parse-names" : false, "suffix" : "" } ], "id" : "ITEM-1", "issued" : { "date-parts" : [ [ "1990" ] ] }, "publisher" : "Purdue University", "title" : "Audience relevance and rhetorical argumentation in expository preaching: A historical-critical comparative analysis of selected sermons of John F. MacArthur, Jr. and Charles R. Swindoll,1970-1990", "type" : "thesis" }, "uris" : [ "http://www.mendeley.com/documents/?uuid=d5d330cc-0764-4f46-8934-2e4b1ad8cd7e" ] } ], "mendeley" : { "formattedCitation" : "(Willhite, 1990)", "manualFormatting" : "Willhite (1990)", "plainTextFormattedCitation" : "(Willhite, 1990)", "previouslyFormattedCitation" : "(Willhite, 1990)" }, "properties" : { "noteIndex" : 0 }, "schema" : "https://github.com/citation-style-language/schema/raw/master/csl-citation.json" }</w:instrText>
      </w:r>
      <w:r w:rsidRPr="00AE337C">
        <w:rPr>
          <w:rFonts w:cstheme="minorHAnsi"/>
          <w:lang w:val="en-US"/>
        </w:rPr>
        <w:fldChar w:fldCharType="separate"/>
      </w:r>
      <w:r w:rsidR="00D308E2" w:rsidRPr="00AE337C">
        <w:rPr>
          <w:rFonts w:cstheme="minorHAnsi"/>
          <w:noProof/>
          <w:lang w:val="en-US"/>
        </w:rPr>
        <w:t>Willhite (1990)</w:t>
      </w:r>
      <w:r w:rsidRPr="00AE337C">
        <w:rPr>
          <w:rFonts w:cstheme="minorHAnsi"/>
          <w:lang w:val="en-US"/>
        </w:rPr>
        <w:fldChar w:fldCharType="end"/>
      </w:r>
      <w:r w:rsidR="00D308E2" w:rsidRPr="00AE337C">
        <w:rPr>
          <w:rFonts w:cstheme="minorHAnsi"/>
          <w:lang w:val="en-US"/>
        </w:rPr>
        <w:t xml:space="preserve"> conducted a comparative analysis on rhetorical audience relevance of selected sermons of John F. MacArthur, Jr. and Charles R. Swindoll, (1970-1990). The findings reveal that these two preachers possess different perceptions when projecting what is </w:t>
      </w:r>
      <w:r w:rsidR="00D308E2" w:rsidRPr="00AE337C">
        <w:rPr>
          <w:rFonts w:cstheme="minorHAnsi"/>
          <w:lang w:val="en-US"/>
        </w:rPr>
        <w:lastRenderedPageBreak/>
        <w:t xml:space="preserve">relevant to their audience. MacArthur relies heavily on audience participation through his implicit message and language that explains the meaning of the biblical </w:t>
      </w:r>
      <w:proofErr w:type="spellStart"/>
      <w:r w:rsidR="00D308E2" w:rsidRPr="00AE337C">
        <w:rPr>
          <w:rFonts w:cstheme="minorHAnsi"/>
          <w:lang w:val="en-US"/>
        </w:rPr>
        <w:t>passagewhereasSwindoll</w:t>
      </w:r>
      <w:proofErr w:type="spellEnd"/>
      <w:r w:rsidR="00D308E2" w:rsidRPr="00AE337C">
        <w:rPr>
          <w:rFonts w:cstheme="minorHAnsi"/>
          <w:lang w:val="en-US"/>
        </w:rPr>
        <w:t xml:space="preserve"> focuses on audience response through rhetorical stance of exhortation in order to urge his audience to act. Apparently, his language that relates the meaning of the biblical passage to human experience is perceived as relevant to his audience. They both seem to be audience oriented when appealing to their audience.</w:t>
      </w:r>
    </w:p>
    <w:p w:rsidR="00D308E2" w:rsidRPr="00AE337C" w:rsidRDefault="00A02014" w:rsidP="00AE337C">
      <w:pPr>
        <w:spacing w:after="120" w:line="240" w:lineRule="auto"/>
        <w:ind w:firstLine="567"/>
        <w:jc w:val="both"/>
        <w:rPr>
          <w:rFonts w:cstheme="minorHAnsi"/>
          <w:color w:val="000000"/>
          <w:lang w:val="en-US"/>
        </w:rPr>
      </w:pPr>
      <w:r w:rsidRPr="00AE337C">
        <w:rPr>
          <w:rFonts w:cstheme="minorHAnsi"/>
          <w:lang w:val="en-US"/>
        </w:rPr>
        <w:fldChar w:fldCharType="begin" w:fldLock="1"/>
      </w:r>
      <w:r w:rsidR="00D308E2" w:rsidRPr="00AE337C">
        <w:rPr>
          <w:rFonts w:cstheme="minorHAnsi"/>
          <w:lang w:val="en-US"/>
        </w:rPr>
        <w:instrText>ADDIN CSL_CITATION { "citationItems" : [ { "id" : "ITEM-1", "itemData" : { "author" : [ { "dropping-particle" : "", "family" : "Metz", "given" : "Shannon Marie", "non-dropping-particle" : "", "parse-names" : false, "suffix" : "" } ], "id" : "ITEM-1", "issued" : { "date-parts" : [ [ "2005" ] ] }, "publisher" : "University of Tennessee Knoxville", "title" : "Dr. Martin Luther King , Jr. and MalcolmX: The Power and Legacy of Prophetic Discourse in the Civil Rights Movement", "type" : "thesis" }, "uris" : [ "http://www.mendeley.com/documents/?uuid=7a188196-c8bc-4245-9fb8-371c78ffccaa" ] } ], "mendeley" : { "formattedCitation" : "(Metz, 2005)", "manualFormatting" : "Metz (2005)", "plainTextFormattedCitation" : "(Metz, 2005)", "previouslyFormattedCitation" : "(Metz, 2005)" }, "properties" : { "noteIndex" : 0 }, "schema" : "https://github.com/citation-style-language/schema/raw/master/csl-citation.json" }</w:instrText>
      </w:r>
      <w:r w:rsidRPr="00AE337C">
        <w:rPr>
          <w:rFonts w:cstheme="minorHAnsi"/>
          <w:lang w:val="en-US"/>
        </w:rPr>
        <w:fldChar w:fldCharType="separate"/>
      </w:r>
      <w:r w:rsidR="00D308E2" w:rsidRPr="00AE337C">
        <w:rPr>
          <w:rFonts w:cstheme="minorHAnsi"/>
          <w:noProof/>
          <w:lang w:val="en-US"/>
        </w:rPr>
        <w:t>Metz (2005)</w:t>
      </w:r>
      <w:r w:rsidRPr="00AE337C">
        <w:rPr>
          <w:rFonts w:cstheme="minorHAnsi"/>
          <w:lang w:val="en-US"/>
        </w:rPr>
        <w:fldChar w:fldCharType="end"/>
      </w:r>
      <w:r w:rsidR="00D308E2" w:rsidRPr="00AE337C">
        <w:rPr>
          <w:rFonts w:cstheme="minorHAnsi"/>
          <w:lang w:val="en-US"/>
        </w:rPr>
        <w:t xml:space="preserve"> analyses </w:t>
      </w:r>
      <w:r w:rsidR="00D308E2" w:rsidRPr="00AE337C">
        <w:rPr>
          <w:rFonts w:cstheme="minorHAnsi"/>
          <w:color w:val="000000"/>
          <w:lang w:val="en-US"/>
        </w:rPr>
        <w:t xml:space="preserve">Martin Luther King, Jr. and Malcolm X’s persuasive techniques to utilize prophetic discourse during the social revolution in order to develop sense of identity in social issues. These two prominent leaders appeal to their intended audience in order to make </w:t>
      </w:r>
      <w:r w:rsidR="007C4A70" w:rsidRPr="00AE337C">
        <w:rPr>
          <w:rFonts w:cstheme="minorHAnsi"/>
          <w:color w:val="000000"/>
          <w:lang w:val="en-US"/>
        </w:rPr>
        <w:t>changes. They</w:t>
      </w:r>
      <w:r w:rsidR="00D308E2" w:rsidRPr="00AE337C">
        <w:rPr>
          <w:rFonts w:cstheme="minorHAnsi"/>
          <w:color w:val="000000"/>
          <w:lang w:val="en-US"/>
        </w:rPr>
        <w:t xml:space="preserve"> are the two influential figures in American history who called their audience to take actions in order to aim for a secure future.</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2</w:t>
      </w:r>
      <w:r w:rsidR="00D308E2" w:rsidRPr="00AE337C">
        <w:rPr>
          <w:rFonts w:cstheme="minorHAnsi"/>
          <w:b/>
          <w:lang w:val="en-US"/>
        </w:rPr>
        <w:t>. Method</w:t>
      </w:r>
    </w:p>
    <w:p w:rsidR="00D308E2" w:rsidRPr="00AE337C" w:rsidRDefault="00D308E2" w:rsidP="00AE337C">
      <w:pPr>
        <w:spacing w:after="120" w:line="240" w:lineRule="auto"/>
        <w:ind w:firstLine="567"/>
        <w:jc w:val="both"/>
        <w:rPr>
          <w:rFonts w:cstheme="minorHAnsi"/>
          <w:lang w:val="en-US"/>
        </w:rPr>
      </w:pPr>
      <w:r w:rsidRPr="00AE337C">
        <w:rPr>
          <w:rFonts w:cstheme="minorHAnsi"/>
          <w:lang w:val="en-US"/>
        </w:rPr>
        <w:t xml:space="preserve">This study is based on a qualitative research method. It is an explanatory case study design based on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"Yin", "given" : "Robert K.", "non-dropping-particle" : "", "parse-names" : false, "suffix" : "" } ], "edition" : "3rd", "id" : "ITEM-1", "issued" : { "date-parts" : [ [ "2009" ] ] }, "publisher" : "Sage Publications Ltd.", "title" : "Case Study Research Design and Methods", "type" : "book" }, "uris" : [ "http://www.mendeley.com/documents/?uuid=eadcec1b-4b6a-4a40-a5b7-dc6472d7597e" ] } ], "mendeley" : { "formattedCitation" : "(Yin, 2009)", "manualFormatting" : "Yin (2009)", "plainTextFormattedCitation" : "(Yin, 2009)", "previouslyFormattedCitation" : "(Yin, 2009)"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Yin (2009)</w:t>
      </w:r>
      <w:r w:rsidR="00A02014" w:rsidRPr="00AE337C">
        <w:rPr>
          <w:rFonts w:cstheme="minorHAnsi"/>
          <w:lang w:val="en-US"/>
        </w:rPr>
        <w:fldChar w:fldCharType="end"/>
      </w:r>
      <w:r w:rsidRPr="00AE337C">
        <w:rPr>
          <w:rFonts w:cstheme="minorHAnsi"/>
          <w:lang w:val="en-US"/>
        </w:rPr>
        <w:t>using Bitzer’s (1968) theory of rhetorical situation. The source of data is the English</w:t>
      </w:r>
      <w:r w:rsidRPr="00AE337C">
        <w:rPr>
          <w:rFonts w:eastAsia="Times New Roman" w:cstheme="minorHAnsi"/>
          <w:lang w:val="en-US"/>
        </w:rPr>
        <w:t xml:space="preserve"> translated version of </w:t>
      </w:r>
      <w:r w:rsidRPr="00AE337C">
        <w:rPr>
          <w:rFonts w:eastAsia="Times New Roman" w:cstheme="minorHAnsi"/>
          <w:i/>
          <w:lang w:val="en-US"/>
        </w:rPr>
        <w:t>Damascus Sermon</w:t>
      </w:r>
      <w:r w:rsidRPr="00AE337C">
        <w:rPr>
          <w:rFonts w:eastAsia="Times New Roman" w:cstheme="minorHAnsi"/>
          <w:lang w:val="en-US"/>
        </w:rPr>
        <w:t xml:space="preserve"> by </w:t>
      </w:r>
      <w:proofErr w:type="spellStart"/>
      <w:r w:rsidRPr="00AE337C">
        <w:rPr>
          <w:rFonts w:eastAsia="Times New Roman" w:cstheme="minorHAnsi"/>
          <w:lang w:val="en-US"/>
        </w:rPr>
        <w:t>ŞükranVahide</w:t>
      </w:r>
      <w:proofErr w:type="spellEnd"/>
      <w:r w:rsidRPr="00AE337C">
        <w:rPr>
          <w:rFonts w:eastAsia="Times New Roman" w:cstheme="minorHAnsi"/>
          <w:lang w:val="en-US"/>
        </w:rPr>
        <w:t xml:space="preserve">. The pages that contain the </w:t>
      </w:r>
      <w:r w:rsidRPr="00AE337C">
        <w:rPr>
          <w:rFonts w:eastAsia="Times New Roman" w:cstheme="minorHAnsi"/>
          <w:i/>
          <w:lang w:val="en-US"/>
        </w:rPr>
        <w:t>Sermon</w:t>
      </w:r>
      <w:r w:rsidRPr="00AE337C">
        <w:rPr>
          <w:rFonts w:eastAsia="Times New Roman" w:cstheme="minorHAnsi"/>
          <w:lang w:val="en-US"/>
        </w:rPr>
        <w:t xml:space="preserve"> are from 25-58.</w:t>
      </w:r>
      <w:r w:rsidR="00F931E7">
        <w:rPr>
          <w:rFonts w:eastAsia="Times New Roman" w:cstheme="minorHAnsi"/>
          <w:lang w:val="en-US"/>
        </w:rPr>
        <w:t xml:space="preserve"> </w:t>
      </w:r>
      <w:r w:rsidRPr="00AE337C">
        <w:rPr>
          <w:rFonts w:cstheme="minorHAnsi"/>
          <w:lang w:val="en-US"/>
        </w:rPr>
        <w:t xml:space="preserve">The </w:t>
      </w:r>
      <w:r w:rsidRPr="00AE337C">
        <w:rPr>
          <w:rFonts w:cstheme="minorHAnsi"/>
          <w:i/>
          <w:lang w:val="en-US"/>
        </w:rPr>
        <w:t>Sermon</w:t>
      </w:r>
      <w:r w:rsidRPr="00AE337C">
        <w:rPr>
          <w:rFonts w:cstheme="minorHAnsi"/>
          <w:lang w:val="en-US"/>
        </w:rPr>
        <w:t xml:space="preserve"> is read thoroughly </w:t>
      </w:r>
      <w:proofErr w:type="spellStart"/>
      <w:r w:rsidRPr="00AE337C">
        <w:rPr>
          <w:rFonts w:cstheme="minorHAnsi"/>
          <w:lang w:val="en-US"/>
        </w:rPr>
        <w:t>andthe</w:t>
      </w:r>
      <w:proofErr w:type="spellEnd"/>
      <w:r w:rsidRPr="00AE337C">
        <w:rPr>
          <w:rFonts w:cstheme="minorHAnsi"/>
          <w:lang w:val="en-US"/>
        </w:rPr>
        <w:t xml:space="preserve"> phrases that identify the rhetorical situation are identified using the analytical framework as shown in Table 1.1 below. The findings on </w:t>
      </w:r>
      <w:proofErr w:type="spellStart"/>
      <w:r w:rsidRPr="00AE337C">
        <w:rPr>
          <w:rFonts w:cstheme="minorHAnsi"/>
          <w:lang w:val="en-US"/>
        </w:rPr>
        <w:t>Nursi’s</w:t>
      </w:r>
      <w:proofErr w:type="spellEnd"/>
      <w:r w:rsidRPr="00AE337C">
        <w:rPr>
          <w:rFonts w:cstheme="minorHAnsi"/>
          <w:lang w:val="en-US"/>
        </w:rPr>
        <w:t xml:space="preserve"> call to his rhetorical audience are </w:t>
      </w:r>
      <w:proofErr w:type="spellStart"/>
      <w:r w:rsidRPr="00AE337C">
        <w:rPr>
          <w:rFonts w:cstheme="minorHAnsi"/>
          <w:lang w:val="en-US"/>
        </w:rPr>
        <w:t>interpretedin</w:t>
      </w:r>
      <w:proofErr w:type="spellEnd"/>
      <w:r w:rsidRPr="00AE337C">
        <w:rPr>
          <w:rFonts w:cstheme="minorHAnsi"/>
          <w:lang w:val="en-US"/>
        </w:rPr>
        <w:t xml:space="preserve"> the results section according to the problems and solutions he provides in the rhetorical situation.</w:t>
      </w:r>
    </w:p>
    <w:p w:rsidR="00D308E2" w:rsidRPr="00AE337C" w:rsidRDefault="00D308E2" w:rsidP="00AE337C">
      <w:pPr>
        <w:pStyle w:val="ResimYazs"/>
        <w:spacing w:after="120"/>
        <w:ind w:firstLine="567"/>
        <w:jc w:val="both"/>
        <w:rPr>
          <w:rFonts w:asciiTheme="minorHAnsi" w:hAnsiTheme="minorHAnsi" w:cstheme="minorHAnsi"/>
          <w:sz w:val="22"/>
          <w:szCs w:val="22"/>
        </w:rPr>
      </w:pPr>
      <w:bookmarkStart w:id="1" w:name="_Toc453173247"/>
      <w:r w:rsidRPr="00AE337C">
        <w:rPr>
          <w:rFonts w:asciiTheme="minorHAnsi" w:hAnsiTheme="minorHAnsi" w:cstheme="minorHAnsi"/>
          <w:sz w:val="22"/>
          <w:szCs w:val="22"/>
        </w:rPr>
        <w:t>Table 1.1 Analytical Framework</w:t>
      </w:r>
      <w:bookmarkEnd w:id="1"/>
    </w:p>
    <w:tbl>
      <w:tblPr>
        <w:tblStyle w:val="TabloKlavuzu"/>
        <w:tblW w:w="6125" w:type="dxa"/>
        <w:jc w:val="center"/>
        <w:tblLook w:val="04A0" w:firstRow="1" w:lastRow="0" w:firstColumn="1" w:lastColumn="0" w:noHBand="0" w:noVBand="1"/>
      </w:tblPr>
      <w:tblGrid>
        <w:gridCol w:w="1788"/>
        <w:gridCol w:w="4337"/>
      </w:tblGrid>
      <w:tr w:rsidR="00D308E2" w:rsidRPr="00AE337C" w:rsidTr="00BF698C">
        <w:trPr>
          <w:trHeight w:val="58"/>
          <w:jc w:val="center"/>
        </w:trPr>
        <w:tc>
          <w:tcPr>
            <w:tcW w:w="1788" w:type="dxa"/>
            <w:shd w:val="clear" w:color="auto" w:fill="BFBFBF" w:themeFill="background1" w:themeFillShade="BF"/>
          </w:tcPr>
          <w:p w:rsidR="00D308E2" w:rsidRPr="00AE337C" w:rsidRDefault="00D308E2" w:rsidP="00AE337C">
            <w:pPr>
              <w:keepNext/>
              <w:spacing w:after="120"/>
              <w:ind w:firstLine="567"/>
              <w:rPr>
                <w:rFonts w:asciiTheme="minorHAnsi" w:eastAsia="Times New Roman" w:hAnsiTheme="minorHAnsi" w:cstheme="minorHAnsi"/>
                <w:bCs/>
                <w:sz w:val="22"/>
                <w:szCs w:val="22"/>
              </w:rPr>
            </w:pPr>
            <w:r w:rsidRPr="00AE337C">
              <w:rPr>
                <w:rFonts w:asciiTheme="minorHAnsi" w:hAnsiTheme="minorHAnsi" w:cstheme="minorHAnsi"/>
                <w:sz w:val="22"/>
                <w:szCs w:val="22"/>
              </w:rPr>
              <w:lastRenderedPageBreak/>
              <w:t>Rhetorical Situation and its dimensions</w:t>
            </w:r>
          </w:p>
        </w:tc>
        <w:tc>
          <w:tcPr>
            <w:tcW w:w="4337" w:type="dxa"/>
            <w:shd w:val="clear" w:color="auto" w:fill="BFBFBF" w:themeFill="background1" w:themeFillShade="BF"/>
          </w:tcPr>
          <w:p w:rsidR="00D308E2" w:rsidRPr="00AE337C" w:rsidRDefault="00D308E2" w:rsidP="00AE337C">
            <w:pPr>
              <w:keepNext/>
              <w:spacing w:after="120"/>
              <w:ind w:firstLine="567"/>
              <w:rPr>
                <w:rFonts w:asciiTheme="minorHAnsi" w:eastAsia="Times New Roman" w:hAnsiTheme="minorHAnsi" w:cstheme="minorHAnsi"/>
                <w:b/>
                <w:bCs/>
                <w:sz w:val="22"/>
                <w:szCs w:val="22"/>
              </w:rPr>
            </w:pPr>
            <w:r w:rsidRPr="00AE337C">
              <w:rPr>
                <w:rFonts w:asciiTheme="minorHAnsi" w:hAnsiTheme="minorHAnsi" w:cstheme="minorHAnsi"/>
                <w:sz w:val="22"/>
                <w:szCs w:val="22"/>
              </w:rPr>
              <w:t>Characteristics of the dimensions</w:t>
            </w:r>
          </w:p>
        </w:tc>
      </w:tr>
      <w:tr w:rsidR="00D308E2" w:rsidRPr="00AE337C" w:rsidTr="00BF698C">
        <w:trPr>
          <w:trHeight w:val="688"/>
          <w:jc w:val="center"/>
        </w:trPr>
        <w:tc>
          <w:tcPr>
            <w:tcW w:w="1788" w:type="dxa"/>
          </w:tcPr>
          <w:p w:rsidR="00D308E2" w:rsidRPr="00AE337C" w:rsidRDefault="00D308E2" w:rsidP="00AE337C">
            <w:pPr>
              <w:keepNext/>
              <w:spacing w:after="120"/>
              <w:ind w:firstLine="567"/>
              <w:rPr>
                <w:rFonts w:asciiTheme="minorHAnsi" w:eastAsia="Times New Roman" w:hAnsiTheme="minorHAnsi" w:cstheme="minorHAnsi"/>
                <w:b/>
                <w:bCs/>
                <w:sz w:val="22"/>
                <w:szCs w:val="22"/>
              </w:rPr>
            </w:pPr>
            <w:r w:rsidRPr="00AE337C">
              <w:rPr>
                <w:rFonts w:asciiTheme="minorHAnsi" w:hAnsiTheme="minorHAnsi" w:cstheme="minorHAnsi"/>
                <w:sz w:val="22"/>
                <w:szCs w:val="22"/>
              </w:rPr>
              <w:t>Exigence</w:t>
            </w:r>
          </w:p>
        </w:tc>
        <w:tc>
          <w:tcPr>
            <w:tcW w:w="4337" w:type="dxa"/>
          </w:tcPr>
          <w:p w:rsidR="00D308E2" w:rsidRPr="00AE337C" w:rsidRDefault="00D308E2" w:rsidP="00AE337C">
            <w:pPr>
              <w:spacing w:after="120"/>
              <w:ind w:firstLine="567"/>
              <w:rPr>
                <w:rFonts w:asciiTheme="minorHAnsi" w:hAnsiTheme="minorHAnsi" w:cstheme="minorHAnsi"/>
                <w:sz w:val="22"/>
                <w:szCs w:val="22"/>
              </w:rPr>
            </w:pPr>
            <w:r w:rsidRPr="00AE337C">
              <w:rPr>
                <w:rFonts w:asciiTheme="minorHAnsi" w:hAnsiTheme="minorHAnsi" w:cstheme="minorHAnsi"/>
                <w:sz w:val="22"/>
                <w:szCs w:val="22"/>
              </w:rPr>
              <w:t xml:space="preserve">-signals an issue </w:t>
            </w:r>
          </w:p>
          <w:p w:rsidR="00D308E2" w:rsidRPr="00AE337C" w:rsidRDefault="00D308E2" w:rsidP="00AE337C">
            <w:pPr>
              <w:spacing w:after="120"/>
              <w:ind w:firstLine="567"/>
              <w:rPr>
                <w:rFonts w:asciiTheme="minorHAnsi" w:hAnsiTheme="minorHAnsi" w:cstheme="minorHAnsi"/>
                <w:sz w:val="22"/>
                <w:szCs w:val="22"/>
              </w:rPr>
            </w:pPr>
            <w:r w:rsidRPr="00AE337C">
              <w:rPr>
                <w:rFonts w:asciiTheme="minorHAnsi" w:hAnsiTheme="minorHAnsi" w:cstheme="minorHAnsi"/>
                <w:sz w:val="22"/>
                <w:szCs w:val="22"/>
              </w:rPr>
              <w:t>-invites a fitting response</w:t>
            </w:r>
          </w:p>
          <w:p w:rsidR="00D308E2" w:rsidRPr="00AE337C" w:rsidRDefault="00D308E2" w:rsidP="00AE337C">
            <w:pPr>
              <w:keepNext/>
              <w:spacing w:after="120"/>
              <w:ind w:firstLine="567"/>
              <w:rPr>
                <w:rFonts w:asciiTheme="minorHAnsi" w:hAnsiTheme="minorHAnsi" w:cstheme="minorHAnsi"/>
                <w:sz w:val="22"/>
                <w:szCs w:val="22"/>
              </w:rPr>
            </w:pPr>
            <w:r w:rsidRPr="00AE337C">
              <w:rPr>
                <w:rFonts w:asciiTheme="minorHAnsi" w:hAnsiTheme="minorHAnsi" w:cstheme="minorHAnsi"/>
                <w:sz w:val="22"/>
                <w:szCs w:val="22"/>
              </w:rPr>
              <w:t xml:space="preserve">-invites a positive modification </w:t>
            </w:r>
          </w:p>
        </w:tc>
      </w:tr>
      <w:tr w:rsidR="00D308E2" w:rsidRPr="00AE337C" w:rsidTr="00BF698C">
        <w:trPr>
          <w:trHeight w:val="151"/>
          <w:jc w:val="center"/>
        </w:trPr>
        <w:tc>
          <w:tcPr>
            <w:tcW w:w="1788" w:type="dxa"/>
          </w:tcPr>
          <w:p w:rsidR="00D308E2" w:rsidRPr="00AE337C" w:rsidRDefault="00D308E2" w:rsidP="00AE337C">
            <w:pPr>
              <w:keepNext/>
              <w:spacing w:after="120"/>
              <w:ind w:firstLine="567"/>
              <w:rPr>
                <w:rFonts w:asciiTheme="minorHAnsi" w:eastAsia="Times New Roman" w:hAnsiTheme="minorHAnsi" w:cstheme="minorHAnsi"/>
                <w:b/>
                <w:bCs/>
                <w:sz w:val="22"/>
                <w:szCs w:val="22"/>
              </w:rPr>
            </w:pPr>
            <w:r w:rsidRPr="00AE337C">
              <w:rPr>
                <w:rFonts w:asciiTheme="minorHAnsi" w:hAnsiTheme="minorHAnsi" w:cstheme="minorHAnsi"/>
                <w:sz w:val="22"/>
                <w:szCs w:val="22"/>
              </w:rPr>
              <w:t>Audience</w:t>
            </w:r>
          </w:p>
        </w:tc>
        <w:tc>
          <w:tcPr>
            <w:tcW w:w="4337" w:type="dxa"/>
          </w:tcPr>
          <w:p w:rsidR="00D308E2" w:rsidRPr="00AE337C" w:rsidRDefault="00D308E2" w:rsidP="00AE337C">
            <w:pPr>
              <w:spacing w:after="120"/>
              <w:ind w:firstLine="567"/>
              <w:rPr>
                <w:rFonts w:asciiTheme="minorHAnsi" w:hAnsiTheme="minorHAnsi" w:cstheme="minorHAnsi"/>
                <w:sz w:val="22"/>
                <w:szCs w:val="22"/>
              </w:rPr>
            </w:pPr>
            <w:r w:rsidRPr="00AE337C">
              <w:rPr>
                <w:rFonts w:asciiTheme="minorHAnsi" w:hAnsiTheme="minorHAnsi" w:cstheme="minorHAnsi"/>
                <w:sz w:val="22"/>
                <w:szCs w:val="22"/>
              </w:rPr>
              <w:t xml:space="preserve">-capable of being influenced </w:t>
            </w:r>
          </w:p>
          <w:p w:rsidR="00D308E2" w:rsidRPr="00AE337C" w:rsidRDefault="00D308E2" w:rsidP="00AE337C">
            <w:pPr>
              <w:spacing w:after="120"/>
              <w:ind w:firstLine="567"/>
              <w:rPr>
                <w:rFonts w:asciiTheme="minorHAnsi" w:hAnsiTheme="minorHAnsi" w:cstheme="minorHAnsi"/>
                <w:sz w:val="22"/>
                <w:szCs w:val="22"/>
              </w:rPr>
            </w:pPr>
            <w:r w:rsidRPr="00AE337C">
              <w:rPr>
                <w:rFonts w:asciiTheme="minorHAnsi" w:hAnsiTheme="minorHAnsi" w:cstheme="minorHAnsi"/>
                <w:sz w:val="22"/>
                <w:szCs w:val="22"/>
              </w:rPr>
              <w:t xml:space="preserve">-capable of being the mediators of change who can affect the situation </w:t>
            </w:r>
          </w:p>
          <w:p w:rsidR="00D308E2" w:rsidRPr="00AE337C" w:rsidRDefault="00D308E2" w:rsidP="00AE337C">
            <w:pPr>
              <w:spacing w:after="120"/>
              <w:ind w:firstLine="567"/>
              <w:rPr>
                <w:rFonts w:asciiTheme="minorHAnsi" w:hAnsiTheme="minorHAnsi" w:cstheme="minorHAnsi"/>
                <w:sz w:val="22"/>
                <w:szCs w:val="22"/>
              </w:rPr>
            </w:pPr>
            <w:r w:rsidRPr="00AE337C">
              <w:rPr>
                <w:rFonts w:asciiTheme="minorHAnsi" w:hAnsiTheme="minorHAnsi" w:cstheme="minorHAnsi"/>
                <w:sz w:val="22"/>
                <w:szCs w:val="22"/>
              </w:rPr>
              <w:t>-capable of influencing</w:t>
            </w:r>
          </w:p>
        </w:tc>
      </w:tr>
      <w:tr w:rsidR="00D308E2" w:rsidRPr="00AE337C" w:rsidTr="00BF698C">
        <w:trPr>
          <w:trHeight w:val="68"/>
          <w:jc w:val="center"/>
        </w:trPr>
        <w:tc>
          <w:tcPr>
            <w:tcW w:w="1788" w:type="dxa"/>
          </w:tcPr>
          <w:p w:rsidR="00D308E2" w:rsidRPr="00AE337C" w:rsidRDefault="00D308E2" w:rsidP="00AE337C">
            <w:pPr>
              <w:keepNext/>
              <w:spacing w:after="120"/>
              <w:ind w:firstLine="567"/>
              <w:rPr>
                <w:rFonts w:asciiTheme="minorHAnsi" w:eastAsia="Times New Roman" w:hAnsiTheme="minorHAnsi" w:cstheme="minorHAnsi"/>
                <w:b/>
                <w:bCs/>
                <w:sz w:val="22"/>
                <w:szCs w:val="22"/>
              </w:rPr>
            </w:pPr>
            <w:r w:rsidRPr="00AE337C">
              <w:rPr>
                <w:rFonts w:asciiTheme="minorHAnsi" w:hAnsiTheme="minorHAnsi" w:cstheme="minorHAnsi"/>
                <w:sz w:val="22"/>
                <w:szCs w:val="22"/>
              </w:rPr>
              <w:t>Constraints</w:t>
            </w:r>
          </w:p>
        </w:tc>
        <w:tc>
          <w:tcPr>
            <w:tcW w:w="4337" w:type="dxa"/>
          </w:tcPr>
          <w:p w:rsidR="00D308E2" w:rsidRPr="00AE337C" w:rsidRDefault="00D308E2" w:rsidP="00AE337C">
            <w:pPr>
              <w:spacing w:after="120"/>
              <w:ind w:firstLine="567"/>
              <w:rPr>
                <w:rFonts w:asciiTheme="minorHAnsi" w:hAnsiTheme="minorHAnsi" w:cstheme="minorHAnsi"/>
                <w:sz w:val="22"/>
                <w:szCs w:val="22"/>
              </w:rPr>
            </w:pPr>
            <w:r w:rsidRPr="00AE337C">
              <w:rPr>
                <w:rFonts w:asciiTheme="minorHAnsi" w:hAnsiTheme="minorHAnsi" w:cstheme="minorHAnsi"/>
                <w:sz w:val="22"/>
                <w:szCs w:val="22"/>
              </w:rPr>
              <w:t>-beliefs, attitudes, documents, facts, traditions, images, interests, motives</w:t>
            </w:r>
          </w:p>
          <w:p w:rsidR="00D308E2" w:rsidRPr="00AE337C" w:rsidRDefault="00D308E2" w:rsidP="00AE337C">
            <w:pPr>
              <w:keepNext/>
              <w:spacing w:after="120"/>
              <w:ind w:firstLine="567"/>
              <w:rPr>
                <w:rFonts w:asciiTheme="minorHAnsi" w:hAnsiTheme="minorHAnsi" w:cstheme="minorHAnsi"/>
                <w:sz w:val="22"/>
                <w:szCs w:val="22"/>
              </w:rPr>
            </w:pPr>
            <w:r w:rsidRPr="00AE337C">
              <w:rPr>
                <w:rFonts w:asciiTheme="minorHAnsi" w:hAnsiTheme="minorHAnsi" w:cstheme="minorHAnsi"/>
                <w:sz w:val="22"/>
                <w:szCs w:val="22"/>
              </w:rPr>
              <w:t>- capable of being a “fitting response”</w:t>
            </w:r>
          </w:p>
          <w:p w:rsidR="00D308E2" w:rsidRPr="00AE337C" w:rsidRDefault="00D308E2" w:rsidP="00AE337C">
            <w:pPr>
              <w:keepNext/>
              <w:spacing w:after="120"/>
              <w:ind w:firstLine="567"/>
              <w:rPr>
                <w:rFonts w:asciiTheme="minorHAnsi" w:hAnsiTheme="minorHAnsi" w:cstheme="minorHAnsi"/>
                <w:sz w:val="22"/>
                <w:szCs w:val="22"/>
              </w:rPr>
            </w:pPr>
            <w:r w:rsidRPr="00AE337C">
              <w:rPr>
                <w:rFonts w:asciiTheme="minorHAnsi" w:hAnsiTheme="minorHAnsi" w:cstheme="minorHAnsi"/>
                <w:sz w:val="22"/>
                <w:szCs w:val="22"/>
              </w:rPr>
              <w:t>-capable of positive modification</w:t>
            </w:r>
          </w:p>
        </w:tc>
      </w:tr>
    </w:tbl>
    <w:p w:rsidR="00D308E2" w:rsidRPr="00AE337C" w:rsidRDefault="00D308E2" w:rsidP="00AE337C">
      <w:pPr>
        <w:spacing w:after="120" w:line="240" w:lineRule="auto"/>
        <w:ind w:firstLine="567"/>
        <w:jc w:val="both"/>
        <w:rPr>
          <w:rFonts w:eastAsia="Times New Roman" w:cstheme="minorHAnsi"/>
          <w:lang w:val="en-US"/>
        </w:rPr>
      </w:pPr>
      <w:r w:rsidRPr="00AE337C">
        <w:rPr>
          <w:rFonts w:eastAsia="Times New Roman" w:cstheme="minorHAnsi"/>
          <w:lang w:val="en-US"/>
        </w:rPr>
        <w:t xml:space="preserve">Sources: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"Bitzer", "given" : "Lloyd F.", "non-dropping-particle" : "", "parse-names" : false, "suffix" : "" } ], "container-title" : "Contemporary Rhetorical Theory", "editor" : [ { "dropping-particle" : "", "family" : "Luraites", "given" : "John", "non-dropping-particle" : "", "parse-names" : false, "suffix" : "" }, { "dropping-particle" : "", "family" : "Condit", "given" : "Celeste", "non-dropping-particle" : "", "parse-names" : false, "suffix" : "" }, { "dropping-particle" : "", "family" : "Caudill", "given" : "Sally", "non-dropping-particle" : "", "parse-names" : false, "suffix" : "" } ], "id" : "ITEM-1", "issued" : { "date-parts" : [ [ "1968" ] ] }, "page" : "217-225", "publisher" : "Guilford Press", "publisher-place" : "New Jersey, USA", "title" : "The Rhetorical Situation. Philosophy and Rhetoric", "type" : "chapter" }, "uris" : [ "http://www.mendeley.com/documents/?uuid=37c90812-ddd6-4d6b-8e58-830d081bf970" ] } ], "mendeley" : { "formattedCitation" : "(Lloyd F. Bitzer, 1968)", "manualFormatting" : "(Bitzer, 1968", "plainTextFormattedCitation" : "(Lloyd F. Bitzer, 1968)", "previouslyFormattedCitation" : "(Lloyd F. Bitzer, 1968)"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(Bitzer, 1968</w:t>
      </w:r>
      <w:r w:rsidR="00A02014" w:rsidRPr="00AE337C">
        <w:rPr>
          <w:rFonts w:eastAsia="Times New Roman" w:cstheme="minorHAnsi"/>
          <w:lang w:val="en-US"/>
        </w:rPr>
        <w:fldChar w:fldCharType="end"/>
      </w:r>
      <w:r w:rsidRPr="00AE337C">
        <w:rPr>
          <w:rFonts w:eastAsia="Times New Roman" w:cstheme="minorHAnsi"/>
          <w:lang w:val="en-US"/>
        </w:rPr>
        <w:t xml:space="preserve">;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"Crowley", "given" : "Sharon", "non-dropping-particle" : "", "parse-names" : false, "suffix" : "" }, { "dropping-particle" : "", "family" : "Hawhee", "given" : "Debra", "non-dropping-particle" : "", "parse-names" : false, "suffix" : "" } ], "id" : "ITEM-1", "issued" : { "date-parts" : [ [ "2004" ] ] }, "number-of-pages" : "462", "publisher" : "Pearson/Longman", "publisher-place" : "New York", "title" : "Ancient Rhetorics for Contemporary Students", "type" : "book" }, "uris" : [ "http://www.mendeley.com/documents/?uuid=0a126065-3c78-4d92-b822-2e9fdb4e593d" ] } ], "mendeley" : { "formattedCitation" : "(Crowley &amp; Hawhee, 2004)", "manualFormatting" : "Crowley &amp; Hawhee, 2004", "plainTextFormattedCitation" : "(Crowley &amp; Hawhee, 2004)", "previouslyFormattedCitation" : "(Crowley &amp; Hawhee, 2004)"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Crowley &amp; Hawhee, 2004</w:t>
      </w:r>
      <w:r w:rsidR="00A02014" w:rsidRPr="00AE337C">
        <w:rPr>
          <w:rFonts w:eastAsia="Times New Roman" w:cstheme="minorHAnsi"/>
          <w:lang w:val="en-US"/>
        </w:rPr>
        <w:fldChar w:fldCharType="end"/>
      </w:r>
      <w:r w:rsidRPr="00AE337C">
        <w:rPr>
          <w:rFonts w:eastAsia="Times New Roman" w:cstheme="minorHAnsi"/>
          <w:lang w:val="en-US"/>
        </w:rPr>
        <w:t xml:space="preserve">;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"Kinneavy", "given" : "James.L", "non-dropping-particle" : "", "parse-names" : false, "suffix" : "" } ], "id" : "ITEM-1", "issued" : { "date-parts" : [ [ "1971" ] ] }, "publisher" : "W.W.Norton &amp; Company", "publisher-place" : "New York", "title" : "A theory of Discourse", "type" : "book" }, "uris" : [ "http://www.mendeley.com/documents/?uuid=d446944c-a689-4e7a-9510-3906929a0045" ] } ], "mendeley" : { "formattedCitation" : "(Kinneavy, 1971)", "manualFormatting" : "Kinneavy, 1971", "plainTextFormattedCitation" : "(Kinneavy, 1971)", "previouslyFormattedCitation" : "(Kinneavy, 1971)"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Kinneavy, 1971</w:t>
      </w:r>
      <w:r w:rsidR="00A02014" w:rsidRPr="00AE337C">
        <w:rPr>
          <w:rFonts w:eastAsia="Times New Roman" w:cstheme="minorHAnsi"/>
          <w:lang w:val="en-US"/>
        </w:rPr>
        <w:fldChar w:fldCharType="end"/>
      </w:r>
      <w:r w:rsidRPr="00AE337C">
        <w:rPr>
          <w:rFonts w:eastAsia="Times New Roman" w:cstheme="minorHAnsi"/>
          <w:lang w:val="en-US"/>
        </w:rPr>
        <w:t>)</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3</w:t>
      </w:r>
      <w:r w:rsidR="00D308E2" w:rsidRPr="00AE337C">
        <w:rPr>
          <w:rFonts w:cstheme="minorHAnsi"/>
          <w:b/>
          <w:lang w:val="en-US"/>
        </w:rPr>
        <w:t>. Results</w:t>
      </w:r>
    </w:p>
    <w:p w:rsidR="00D308E2" w:rsidRPr="00AE337C" w:rsidRDefault="00D308E2" w:rsidP="00AE337C">
      <w:pPr>
        <w:spacing w:after="120" w:line="240" w:lineRule="auto"/>
        <w:ind w:firstLine="567"/>
        <w:jc w:val="both"/>
        <w:rPr>
          <w:rFonts w:cstheme="minorHAnsi"/>
          <w:lang w:val="en-US"/>
        </w:rPr>
      </w:pPr>
      <w:r w:rsidRPr="00AE337C">
        <w:rPr>
          <w:rFonts w:cstheme="minorHAnsi"/>
          <w:lang w:val="en-US"/>
        </w:rPr>
        <w:t xml:space="preserve">This section illustrates the results of the </w:t>
      </w:r>
      <w:proofErr w:type="spellStart"/>
      <w:r w:rsidRPr="00AE337C">
        <w:rPr>
          <w:rFonts w:cstheme="minorHAnsi"/>
          <w:lang w:val="en-US"/>
        </w:rPr>
        <w:t>analysisofthe</w:t>
      </w:r>
      <w:proofErr w:type="spellEnd"/>
      <w:r w:rsidRPr="00AE337C">
        <w:rPr>
          <w:rFonts w:cstheme="minorHAnsi"/>
          <w:lang w:val="en-US"/>
        </w:rPr>
        <w:t xml:space="preserve"> rhetorical audience in a rhetorical situation. As this study </w:t>
      </w:r>
      <w:proofErr w:type="spellStart"/>
      <w:r w:rsidRPr="00AE337C">
        <w:rPr>
          <w:rFonts w:cstheme="minorHAnsi"/>
          <w:lang w:val="en-US"/>
        </w:rPr>
        <w:t>focuseson</w:t>
      </w:r>
      <w:proofErr w:type="spellEnd"/>
      <w:r w:rsidRPr="00AE337C">
        <w:rPr>
          <w:rFonts w:cstheme="minorHAnsi"/>
          <w:lang w:val="en-US"/>
        </w:rPr>
        <w:t xml:space="preserve"> the dimension of audience, the analysis on the dimensions of exigencies and constraints are just briefly stated. The findings are supported by phrases and sentences from the </w:t>
      </w:r>
      <w:proofErr w:type="spellStart"/>
      <w:r w:rsidRPr="00AE337C">
        <w:rPr>
          <w:rFonts w:cstheme="minorHAnsi"/>
          <w:i/>
          <w:lang w:val="en-US"/>
        </w:rPr>
        <w:t>Sermon</w:t>
      </w:r>
      <w:r w:rsidRPr="00AE337C">
        <w:rPr>
          <w:rFonts w:cstheme="minorHAnsi"/>
          <w:lang w:val="en-US"/>
        </w:rPr>
        <w:t>and</w:t>
      </w:r>
      <w:proofErr w:type="spellEnd"/>
      <w:r w:rsidRPr="00AE337C">
        <w:rPr>
          <w:rFonts w:cstheme="minorHAnsi"/>
          <w:lang w:val="en-US"/>
        </w:rPr>
        <w:t xml:space="preserve"> the numbers of the pages are stated for the convenience of referencing.</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3</w:t>
      </w:r>
      <w:r w:rsidR="00D308E2" w:rsidRPr="00AE337C">
        <w:rPr>
          <w:rFonts w:cstheme="minorHAnsi"/>
          <w:b/>
          <w:lang w:val="en-US"/>
        </w:rPr>
        <w:t>.1. The solution of six ‘Words’ for the “six dire sicknesses”</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r w:rsidRPr="00AE337C">
        <w:rPr>
          <w:rFonts w:cstheme="minorHAnsi"/>
          <w:color w:val="000000"/>
          <w:lang w:val="en-US"/>
        </w:rPr>
        <w:t xml:space="preserve">In the spring of 1911, </w:t>
      </w:r>
      <w:proofErr w:type="spellStart"/>
      <w:r w:rsidRPr="00AE337C">
        <w:rPr>
          <w:rFonts w:cstheme="minorHAnsi"/>
          <w:color w:val="000000"/>
          <w:lang w:val="en-US"/>
        </w:rPr>
        <w:t>Nursi</w:t>
      </w:r>
      <w:proofErr w:type="spellEnd"/>
      <w:r w:rsidRPr="00AE337C">
        <w:rPr>
          <w:rFonts w:cstheme="minorHAnsi"/>
          <w:color w:val="000000"/>
          <w:lang w:val="en-US"/>
        </w:rPr>
        <w:t xml:space="preserve"> delivers his </w:t>
      </w:r>
      <w:r w:rsidRPr="00AE337C">
        <w:rPr>
          <w:rFonts w:cstheme="minorHAnsi"/>
          <w:i/>
          <w:color w:val="000000"/>
          <w:lang w:val="en-US"/>
        </w:rPr>
        <w:t>Damascus Sermon</w:t>
      </w:r>
      <w:r w:rsidRPr="00AE337C">
        <w:rPr>
          <w:rFonts w:cstheme="minorHAnsi"/>
          <w:color w:val="000000"/>
          <w:lang w:val="en-US"/>
        </w:rPr>
        <w:t xml:space="preserve"> in the historic Umayyad Mosque after a group of religious scholars invited him to present a sermon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"Vahide", "given" : "\u015eukran", "non-dropping-particle" : "", "parse-names" : false, "suffix" : "" } ], "editor" : [ { "dropping-particle" : "", "family" : "Rabi\u2019", "given" : "Ibrahim M.Abu", "non-dropping-particle" : "", "parse-names" : false, "suffix" : "" } ], "id" : "ITEM-1", "issued" : { "date-parts" : [ [ "2012" ] ] }, "publisher" : "Suny Press", "title" : "Islam in Modern Turkey: An Intellectual Biography of Bediuzzaman Said Nursi", "type" : "book" }, "uris" : [ "http://www.mendeley.com/documents/?uuid=097e8480-2e46-434f-b57f-d8fdefbd8b82" ] } ], "mendeley" : { "formattedCitation" : "(\u015e. Vahide, 2012)", "manualFormatting" : "(Vahide, 2012)", "plainTextFormattedCitation" : "(\u015e. Vahide, 2012)", "previouslyFormattedCitation" : "(\u015e. Vahide, 2012)"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(Vahide, 2012)</w:t>
      </w:r>
      <w:r w:rsidR="00A02014" w:rsidRPr="00AE337C">
        <w:rPr>
          <w:rFonts w:cstheme="minorHAnsi"/>
          <w:lang w:val="en-US"/>
        </w:rPr>
        <w:fldChar w:fldCharType="end"/>
      </w:r>
      <w:r w:rsidRPr="00AE337C">
        <w:rPr>
          <w:rFonts w:cstheme="minorHAnsi"/>
          <w:lang w:val="en-US"/>
        </w:rPr>
        <w:t>.</w:t>
      </w:r>
      <w:r w:rsidR="00FF65D0" w:rsidRPr="00AE337C">
        <w:rPr>
          <w:rFonts w:cstheme="minorHAnsi"/>
          <w:lang w:val="en-US"/>
        </w:rPr>
        <w:t xml:space="preserve"> </w:t>
      </w:r>
      <w:proofErr w:type="spellStart"/>
      <w:r w:rsidRPr="00AE337C">
        <w:rPr>
          <w:rFonts w:cstheme="minorHAnsi"/>
          <w:color w:val="000000"/>
          <w:lang w:val="en-US"/>
        </w:rPr>
        <w:t>Nursi</w:t>
      </w:r>
      <w:proofErr w:type="spellEnd"/>
      <w:r w:rsidRPr="00AE337C">
        <w:rPr>
          <w:rFonts w:cstheme="minorHAnsi"/>
          <w:color w:val="000000"/>
          <w:lang w:val="en-US"/>
        </w:rPr>
        <w:t xml:space="preserve"> begins to deliver his</w:t>
      </w:r>
      <w:r w:rsidR="00FF65D0" w:rsidRPr="00AE337C">
        <w:rPr>
          <w:rFonts w:cstheme="minorHAnsi"/>
          <w:color w:val="000000"/>
          <w:lang w:val="en-US"/>
        </w:rPr>
        <w:t xml:space="preserve"> </w:t>
      </w:r>
      <w:r w:rsidRPr="00AE337C">
        <w:rPr>
          <w:rFonts w:cstheme="minorHAnsi"/>
          <w:i/>
          <w:color w:val="000000"/>
          <w:lang w:val="en-US"/>
        </w:rPr>
        <w:t>Sermon</w:t>
      </w:r>
      <w:r w:rsidRPr="00AE337C">
        <w:rPr>
          <w:rFonts w:cstheme="minorHAnsi"/>
          <w:color w:val="000000"/>
          <w:lang w:val="en-US"/>
        </w:rPr>
        <w:t xml:space="preserve"> by uttering the name of the God who possesses merciful and compassionate attributes which reveals his awareness of God’s presence.</w:t>
      </w:r>
      <w:r w:rsidR="00FF65D0" w:rsidRPr="00AE337C">
        <w:rPr>
          <w:rFonts w:cstheme="minorHAnsi"/>
          <w:color w:val="000000"/>
          <w:lang w:val="en-US"/>
        </w:rPr>
        <w:t xml:space="preserve"> </w:t>
      </w:r>
      <w:r w:rsidRPr="00AE337C">
        <w:rPr>
          <w:rFonts w:cstheme="minorHAnsi"/>
          <w:color w:val="000000"/>
          <w:lang w:val="en-US"/>
        </w:rPr>
        <w:t>He utters “we” and “us” (p. 25) as he includes himself as part of the audience to make offer of praising and thanking God in order to show gratitude</w:t>
      </w:r>
      <w:r w:rsidR="00FF65D0" w:rsidRPr="00AE337C">
        <w:rPr>
          <w:rFonts w:cstheme="minorHAnsi"/>
          <w:color w:val="000000"/>
          <w:lang w:val="en-US"/>
        </w:rPr>
        <w:t xml:space="preserve"> </w:t>
      </w:r>
      <w:r w:rsidRPr="00AE337C">
        <w:rPr>
          <w:rFonts w:cstheme="minorHAnsi"/>
          <w:color w:val="000000"/>
          <w:lang w:val="en-US"/>
        </w:rPr>
        <w:t xml:space="preserve">to Him as the Creator. He appeals to </w:t>
      </w:r>
      <w:r w:rsidRPr="00AE337C">
        <w:rPr>
          <w:rFonts w:cstheme="minorHAnsi"/>
          <w:color w:val="000000"/>
          <w:lang w:val="en-US"/>
        </w:rPr>
        <w:lastRenderedPageBreak/>
        <w:t xml:space="preserve">the audience to show their appreciation for all the endowments that God has granted. Thus, in the initial stage of the </w:t>
      </w:r>
      <w:r w:rsidRPr="00AE337C">
        <w:rPr>
          <w:rFonts w:cstheme="minorHAnsi"/>
          <w:i/>
          <w:color w:val="000000"/>
          <w:lang w:val="en-US"/>
        </w:rPr>
        <w:t>Sermon</w:t>
      </w:r>
      <w:r w:rsidRPr="00AE337C">
        <w:rPr>
          <w:rFonts w:cstheme="minorHAnsi"/>
          <w:color w:val="000000"/>
          <w:lang w:val="en-US"/>
        </w:rPr>
        <w:t xml:space="preserve">, </w:t>
      </w:r>
      <w:proofErr w:type="spellStart"/>
      <w:r w:rsidRPr="00AE337C">
        <w:rPr>
          <w:rFonts w:cstheme="minorHAnsi"/>
          <w:color w:val="000000"/>
          <w:lang w:val="en-US"/>
        </w:rPr>
        <w:t>Nursi</w:t>
      </w:r>
      <w:proofErr w:type="spellEnd"/>
      <w:r w:rsidRPr="00AE337C">
        <w:rPr>
          <w:rFonts w:cstheme="minorHAnsi"/>
          <w:color w:val="000000"/>
          <w:lang w:val="en-US"/>
        </w:rPr>
        <w:t xml:space="preserve"> has already guided his audience in actions of offering praise and thanks as a means of acknowledging God as the Creator who has the supreme power over His creation. Then he quotes the verse “Do not despair of God’s mercy” (Qur'an, 39:53) and the utterance of the Prophet Muhammad “I came to perfect morality” (p.25) to arouse and engage his audience in a positive mood and console them before he delivers the context of his </w:t>
      </w:r>
      <w:r w:rsidRPr="00AE337C">
        <w:rPr>
          <w:rFonts w:cstheme="minorHAnsi"/>
          <w:i/>
          <w:color w:val="000000"/>
          <w:lang w:val="en-US"/>
        </w:rPr>
        <w:t>Sermon</w:t>
      </w:r>
      <w:r w:rsidRPr="00AE337C">
        <w:rPr>
          <w:rFonts w:cstheme="minorHAnsi"/>
          <w:color w:val="000000"/>
          <w:lang w:val="en-US"/>
        </w:rPr>
        <w:t>.</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proofErr w:type="spellStart"/>
      <w:r w:rsidRPr="00AE337C">
        <w:rPr>
          <w:rFonts w:cstheme="minorHAnsi"/>
          <w:color w:val="000000"/>
          <w:lang w:val="en-US"/>
        </w:rPr>
        <w:t>Nursi</w:t>
      </w:r>
      <w:proofErr w:type="spellEnd"/>
      <w:r w:rsidRPr="00AE337C">
        <w:rPr>
          <w:rFonts w:cstheme="minorHAnsi"/>
          <w:color w:val="000000"/>
          <w:lang w:val="en-US"/>
        </w:rPr>
        <w:t xml:space="preserve"> addresses his audience as his brothers in order to create a sense of belonging in the community as he utters “O my Arab brothers who are listening here in the Umayyad Mosque!” (p.26). He also senses his audience’s efforts to be attentive from the beginning stage of the </w:t>
      </w:r>
      <w:r w:rsidRPr="00AE337C">
        <w:rPr>
          <w:rFonts w:cstheme="minorHAnsi"/>
          <w:i/>
          <w:color w:val="000000"/>
          <w:lang w:val="en-US"/>
        </w:rPr>
        <w:t>Sermon</w:t>
      </w:r>
      <w:r w:rsidRPr="00AE337C">
        <w:rPr>
          <w:rFonts w:cstheme="minorHAnsi"/>
          <w:color w:val="000000"/>
          <w:lang w:val="en-US"/>
        </w:rPr>
        <w:t>. Then, he</w:t>
      </w:r>
      <w:r w:rsidR="00FF65D0" w:rsidRPr="00AE337C">
        <w:rPr>
          <w:rFonts w:cstheme="minorHAnsi"/>
          <w:color w:val="000000"/>
          <w:lang w:val="en-US"/>
        </w:rPr>
        <w:t xml:space="preserve"> </w:t>
      </w:r>
      <w:r w:rsidRPr="00AE337C">
        <w:rPr>
          <w:rFonts w:cstheme="minorHAnsi"/>
          <w:color w:val="000000"/>
          <w:lang w:val="en-US"/>
        </w:rPr>
        <w:t xml:space="preserve">also includes himself as the audience in a humble manner while displaying his respect to them by honoring them as “masters.” According to the publisher of </w:t>
      </w:r>
      <w:r w:rsidRPr="00AE337C">
        <w:rPr>
          <w:rFonts w:cstheme="minorHAnsi"/>
          <w:i/>
          <w:color w:val="000000"/>
          <w:lang w:val="en-US"/>
        </w:rPr>
        <w:t>Damascus Sermon</w:t>
      </w:r>
      <w:r w:rsidRPr="00AE337C">
        <w:rPr>
          <w:rFonts w:cstheme="minorHAnsi"/>
          <w:color w:val="000000"/>
          <w:lang w:val="en-US"/>
        </w:rPr>
        <w:t xml:space="preserve">, </w:t>
      </w:r>
      <w:proofErr w:type="spellStart"/>
      <w:r w:rsidRPr="00AE337C">
        <w:rPr>
          <w:rFonts w:cstheme="minorHAnsi"/>
          <w:color w:val="000000"/>
          <w:lang w:val="en-US"/>
        </w:rPr>
        <w:t>Nursi’s</w:t>
      </w:r>
      <w:proofErr w:type="spellEnd"/>
      <w:r w:rsidRPr="00AE337C">
        <w:rPr>
          <w:rFonts w:cstheme="minorHAnsi"/>
          <w:color w:val="000000"/>
          <w:lang w:val="en-US"/>
        </w:rPr>
        <w:t xml:space="preserve"> present audience consists of nearly ten thousand including one hundred scholars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"Nursi", "given" : "Bediuzzaman Said", "non-dropping-particle" : "", "parse-names" : false, "suffix" : "" } ], "edition" : "Second (re", "id" : "ITEM-1", "issued" : { "date-parts" : [ [ "2012" ] ] }, "number-of-pages" : "60", "publisher" : "S\u00f6zler Ne\u015friyat A.\u015e. Istanbul. (Original work published 1911)", "publisher-place" : "Istanbul, Turkey", "title" : "The Damascus Sermon From the Risale i Nur Collection Trans (Turkish \u2018Hutbe-i \u015e\u00e2miye', \u015e\u00fckran Vahide,Trans)", "type" : "book" }, "uris" : [ "http://www.mendeley.com/documents/?uuid=602d1853-6690-4119-94fb-c57676b1c9f2" ] } ], "mendeley" : { "formattedCitation" : "(Nursi, 2012)", "manualFormatting" : "(Nursi, 2012)", "plainTextFormattedCitation" : "(Nursi, 2012)", "previouslyFormattedCitation" : "(Nursi, 2012)"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(Nursi, 2012)</w:t>
      </w:r>
      <w:r w:rsidR="00A02014" w:rsidRPr="00AE337C">
        <w:rPr>
          <w:rFonts w:cstheme="minorHAnsi"/>
          <w:lang w:val="en-US"/>
        </w:rPr>
        <w:fldChar w:fldCharType="end"/>
      </w:r>
      <w:r w:rsidRPr="00AE337C">
        <w:rPr>
          <w:rFonts w:cstheme="minorHAnsi"/>
          <w:lang w:val="en-US"/>
        </w:rPr>
        <w:t xml:space="preserve">. </w:t>
      </w:r>
      <w:proofErr w:type="spellStart"/>
      <w:r w:rsidRPr="00AE337C">
        <w:rPr>
          <w:rFonts w:cstheme="minorHAnsi"/>
          <w:lang w:val="en-US"/>
        </w:rPr>
        <w:t>Nursi</w:t>
      </w:r>
      <w:proofErr w:type="spellEnd"/>
      <w:r w:rsidRPr="00AE337C">
        <w:rPr>
          <w:rFonts w:cstheme="minorHAnsi"/>
          <w:lang w:val="en-US"/>
        </w:rPr>
        <w:t xml:space="preserve"> is </w:t>
      </w:r>
      <w:r w:rsidRPr="00AE337C">
        <w:rPr>
          <w:rFonts w:cstheme="minorHAnsi"/>
          <w:color w:val="000000"/>
          <w:lang w:val="en-US"/>
        </w:rPr>
        <w:t xml:space="preserve">aware of his audience’s capability as they are knowledgeable scholars. He agrees to accept the offer to present the </w:t>
      </w:r>
      <w:proofErr w:type="spellStart"/>
      <w:r w:rsidRPr="00AE337C">
        <w:rPr>
          <w:rFonts w:cstheme="minorHAnsi"/>
          <w:i/>
          <w:color w:val="000000"/>
          <w:lang w:val="en-US"/>
        </w:rPr>
        <w:t>Sermon</w:t>
      </w:r>
      <w:r w:rsidRPr="00AE337C">
        <w:rPr>
          <w:rFonts w:cstheme="minorHAnsi"/>
          <w:color w:val="000000"/>
          <w:lang w:val="en-US"/>
        </w:rPr>
        <w:t>as</w:t>
      </w:r>
      <w:proofErr w:type="spellEnd"/>
      <w:r w:rsidRPr="00AE337C">
        <w:rPr>
          <w:rFonts w:cstheme="minorHAnsi"/>
          <w:color w:val="000000"/>
          <w:lang w:val="en-US"/>
        </w:rPr>
        <w:t xml:space="preserve"> he anticipates them as capable mediators of change in the rhetorical situation. Thus, he is being audience-centered at the initial stage of the </w:t>
      </w:r>
      <w:r w:rsidRPr="00AE337C">
        <w:rPr>
          <w:rFonts w:cstheme="minorHAnsi"/>
          <w:i/>
          <w:color w:val="000000"/>
          <w:lang w:val="en-US"/>
        </w:rPr>
        <w:t xml:space="preserve">Sermon </w:t>
      </w:r>
      <w:r w:rsidRPr="00AE337C">
        <w:rPr>
          <w:rFonts w:cstheme="minorHAnsi"/>
          <w:color w:val="000000"/>
          <w:lang w:val="en-US"/>
        </w:rPr>
        <w:t>and this creates a good impression among his audience.</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proofErr w:type="spellStart"/>
      <w:r w:rsidRPr="00AE337C">
        <w:rPr>
          <w:rFonts w:cstheme="minorHAnsi"/>
          <w:color w:val="000000"/>
          <w:lang w:val="en-US"/>
        </w:rPr>
        <w:t>Nursi</w:t>
      </w:r>
      <w:proofErr w:type="spellEnd"/>
      <w:r w:rsidRPr="00AE337C">
        <w:rPr>
          <w:rFonts w:cstheme="minorHAnsi"/>
          <w:color w:val="000000"/>
          <w:lang w:val="en-US"/>
        </w:rPr>
        <w:t xml:space="preserve"> is aware of the situation</w:t>
      </w:r>
      <w:r w:rsidR="00FF65D0" w:rsidRPr="00AE337C">
        <w:rPr>
          <w:rFonts w:cstheme="minorHAnsi"/>
          <w:color w:val="000000"/>
          <w:lang w:val="en-US"/>
        </w:rPr>
        <w:t xml:space="preserve"> </w:t>
      </w:r>
      <w:r w:rsidRPr="00AE337C">
        <w:rPr>
          <w:rFonts w:cstheme="minorHAnsi"/>
          <w:color w:val="000000"/>
          <w:lang w:val="en-US"/>
        </w:rPr>
        <w:t>his audience are going through,</w:t>
      </w:r>
      <w:r w:rsidR="00FF65D0" w:rsidRPr="00AE337C">
        <w:rPr>
          <w:rFonts w:cstheme="minorHAnsi"/>
          <w:color w:val="000000"/>
          <w:lang w:val="en-US"/>
        </w:rPr>
        <w:t xml:space="preserve"> </w:t>
      </w:r>
      <w:r w:rsidRPr="00AE337C">
        <w:rPr>
          <w:rFonts w:cstheme="minorHAnsi"/>
          <w:color w:val="000000"/>
          <w:lang w:val="en-US"/>
        </w:rPr>
        <w:t xml:space="preserve">based on the knowledge he has gained from the lesson he has learned in his social life’s </w:t>
      </w:r>
      <w:r w:rsidR="00F931E7" w:rsidRPr="00AE337C">
        <w:rPr>
          <w:rFonts w:cstheme="minorHAnsi"/>
          <w:color w:val="000000"/>
          <w:lang w:val="en-US"/>
        </w:rPr>
        <w:t>interactions</w:t>
      </w:r>
      <w:r w:rsidRPr="00AE337C">
        <w:rPr>
          <w:rFonts w:cstheme="minorHAnsi"/>
          <w:color w:val="000000"/>
          <w:lang w:val="en-US"/>
        </w:rPr>
        <w:t>.</w:t>
      </w:r>
      <w:r w:rsidR="00FF65D0" w:rsidRPr="00AE337C">
        <w:rPr>
          <w:rFonts w:cstheme="minorHAnsi"/>
          <w:color w:val="000000"/>
          <w:lang w:val="en-US"/>
        </w:rPr>
        <w:t xml:space="preserve"> </w:t>
      </w:r>
      <w:r w:rsidRPr="00AE337C">
        <w:rPr>
          <w:rFonts w:cstheme="minorHAnsi"/>
          <w:color w:val="000000"/>
          <w:lang w:val="en-US"/>
        </w:rPr>
        <w:t xml:space="preserve">He became aware of his audience’s backwardness which causes anxiety as the foreigners are progressing rapidly in material development. They are confined to </w:t>
      </w:r>
      <w:proofErr w:type="spellStart"/>
      <w:r w:rsidRPr="00AE337C">
        <w:rPr>
          <w:rFonts w:cstheme="minorHAnsi"/>
          <w:color w:val="000000"/>
          <w:lang w:val="en-US"/>
        </w:rPr>
        <w:t>thesituation</w:t>
      </w:r>
      <w:proofErr w:type="spellEnd"/>
      <w:r w:rsidRPr="00AE337C">
        <w:rPr>
          <w:rFonts w:cstheme="minorHAnsi"/>
          <w:color w:val="000000"/>
          <w:lang w:val="en-US"/>
        </w:rPr>
        <w:t xml:space="preserve"> of spiritual, moral and material weaknesses which eventually become the controlling exigence as it made them be “arrested” and “kept” in the problem of “six dire sicknesses” (p.26). </w:t>
      </w:r>
      <w:proofErr w:type="spellStart"/>
      <w:r w:rsidRPr="00AE337C">
        <w:rPr>
          <w:rFonts w:cstheme="minorHAnsi"/>
          <w:color w:val="000000"/>
          <w:lang w:val="en-US"/>
        </w:rPr>
        <w:t>Nursi</w:t>
      </w:r>
      <w:proofErr w:type="spellEnd"/>
      <w:r w:rsidRPr="00AE337C">
        <w:rPr>
          <w:rFonts w:cstheme="minorHAnsi"/>
          <w:color w:val="000000"/>
          <w:lang w:val="en-US"/>
        </w:rPr>
        <w:t xml:space="preserve"> elaborates these sicknesses as despair and hopelessness, deceit, enmity, disunity, distress and individualism. Thus, the problem of these spiritual sicknesses calls for a fitting response as a solution. Then, </w:t>
      </w:r>
      <w:proofErr w:type="spellStart"/>
      <w:r w:rsidRPr="00AE337C">
        <w:rPr>
          <w:rFonts w:cstheme="minorHAnsi"/>
          <w:color w:val="000000"/>
          <w:lang w:val="en-US"/>
        </w:rPr>
        <w:t>Nursi</w:t>
      </w:r>
      <w:proofErr w:type="spellEnd"/>
      <w:r w:rsidRPr="00AE337C">
        <w:rPr>
          <w:rFonts w:cstheme="minorHAnsi"/>
          <w:color w:val="000000"/>
          <w:lang w:val="en-US"/>
        </w:rPr>
        <w:t xml:space="preserve"> provides a solution by means of six ‘Words’ (p.27). They consist of guidelines, rules, advice</w:t>
      </w:r>
      <w:r w:rsidR="00FF65D0" w:rsidRPr="00AE337C">
        <w:rPr>
          <w:rFonts w:cstheme="minorHAnsi"/>
          <w:color w:val="000000"/>
          <w:lang w:val="en-US"/>
        </w:rPr>
        <w:t xml:space="preserve"> </w:t>
      </w:r>
      <w:r w:rsidRPr="00AE337C">
        <w:rPr>
          <w:rFonts w:cstheme="minorHAnsi"/>
          <w:color w:val="000000"/>
          <w:lang w:val="en-US"/>
        </w:rPr>
        <w:t>based on the lesson from</w:t>
      </w:r>
      <w:r w:rsidR="00FF65D0" w:rsidRPr="00AE337C">
        <w:rPr>
          <w:rFonts w:cstheme="minorHAnsi"/>
          <w:color w:val="000000"/>
          <w:lang w:val="en-US"/>
        </w:rPr>
        <w:t xml:space="preserve"> </w:t>
      </w:r>
      <w:r w:rsidRPr="00AE337C">
        <w:rPr>
          <w:rFonts w:cstheme="minorHAnsi"/>
          <w:color w:val="000000"/>
          <w:lang w:val="en-US"/>
        </w:rPr>
        <w:t>the Quran which are</w:t>
      </w:r>
      <w:r w:rsidR="00FF65D0" w:rsidRPr="00AE337C">
        <w:rPr>
          <w:rFonts w:cstheme="minorHAnsi"/>
          <w:color w:val="000000"/>
          <w:lang w:val="en-US"/>
        </w:rPr>
        <w:t xml:space="preserve"> </w:t>
      </w:r>
      <w:r w:rsidRPr="00AE337C">
        <w:rPr>
          <w:rFonts w:cstheme="minorHAnsi"/>
          <w:color w:val="000000"/>
          <w:lang w:val="en-US"/>
        </w:rPr>
        <w:t xml:space="preserve">the constraints. The word “cure” is a fitting response because the lesson has curative properties that can remove </w:t>
      </w:r>
      <w:r w:rsidRPr="00AE337C">
        <w:rPr>
          <w:rFonts w:cstheme="minorHAnsi"/>
          <w:color w:val="000000"/>
          <w:lang w:val="en-US"/>
        </w:rPr>
        <w:lastRenderedPageBreak/>
        <w:t xml:space="preserve">the controlling exigence by healing the sicknesses. Therefore, it is considered as a positive modification. </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proofErr w:type="spellStart"/>
      <w:r w:rsidRPr="00AE337C">
        <w:rPr>
          <w:rFonts w:cstheme="minorHAnsi"/>
          <w:color w:val="000000"/>
          <w:lang w:val="en-US"/>
        </w:rPr>
        <w:t>Nursi</w:t>
      </w:r>
      <w:proofErr w:type="spellEnd"/>
      <w:r w:rsidRPr="00AE337C">
        <w:rPr>
          <w:rFonts w:cstheme="minorHAnsi"/>
          <w:color w:val="000000"/>
          <w:lang w:val="en-US"/>
        </w:rPr>
        <w:t xml:space="preserve"> appeals to his audience to</w:t>
      </w:r>
      <w:r w:rsidR="00FF65D0" w:rsidRPr="00AE337C">
        <w:rPr>
          <w:rFonts w:cstheme="minorHAnsi"/>
          <w:color w:val="000000"/>
          <w:lang w:val="en-US"/>
        </w:rPr>
        <w:t xml:space="preserve"> </w:t>
      </w:r>
      <w:r w:rsidRPr="00AE337C">
        <w:rPr>
          <w:rFonts w:cstheme="minorHAnsi"/>
          <w:color w:val="000000"/>
          <w:lang w:val="en-US"/>
        </w:rPr>
        <w:t>gain spiritual and intellectual insights as they are “wise and thoughtful.” His</w:t>
      </w:r>
      <w:r w:rsidR="00FF65D0" w:rsidRPr="00AE337C">
        <w:rPr>
          <w:rFonts w:cstheme="minorHAnsi"/>
          <w:color w:val="000000"/>
          <w:lang w:val="en-US"/>
        </w:rPr>
        <w:t xml:space="preserve"> </w:t>
      </w:r>
      <w:r w:rsidRPr="00AE337C">
        <w:rPr>
          <w:rFonts w:cstheme="minorHAnsi"/>
          <w:color w:val="000000"/>
          <w:lang w:val="en-US"/>
        </w:rPr>
        <w:t xml:space="preserve">expression of the phrase “students of the Quran” (p. 32) implies that the audience consists of learners who take the Quran as an essential guide in life. Thus, he conveys that the Quran is their teacher which can provide practical wisdom based on principles, rules, instructions and guidelines. </w:t>
      </w:r>
      <w:proofErr w:type="spellStart"/>
      <w:r w:rsidRPr="00AE337C">
        <w:rPr>
          <w:rFonts w:cstheme="minorHAnsi"/>
          <w:lang w:val="en-US"/>
        </w:rPr>
        <w:t>Nursi’s</w:t>
      </w:r>
      <w:proofErr w:type="spellEnd"/>
      <w:r w:rsidRPr="00AE337C">
        <w:rPr>
          <w:rFonts w:cstheme="minorHAnsi"/>
          <w:lang w:val="en-US"/>
        </w:rPr>
        <w:t xml:space="preserve"> propositions relate to the knowledge of the Quran is based on </w:t>
      </w:r>
      <w:r w:rsidRPr="00AE337C">
        <w:rPr>
          <w:rFonts w:eastAsia="Calibri" w:cstheme="minorHAnsi"/>
          <w:bCs/>
          <w:color w:val="231F20"/>
          <w:lang w:val="en-US"/>
        </w:rPr>
        <w:t>the science of belief (</w:t>
      </w:r>
      <w:proofErr w:type="spellStart"/>
      <w:r w:rsidRPr="00AE337C">
        <w:rPr>
          <w:rFonts w:eastAsia="Calibri" w:cstheme="minorHAnsi"/>
          <w:bCs/>
          <w:i/>
          <w:color w:val="231F20"/>
          <w:lang w:val="en-US"/>
        </w:rPr>
        <w:t>ulum</w:t>
      </w:r>
      <w:proofErr w:type="spellEnd"/>
      <w:r w:rsidRPr="00AE337C">
        <w:rPr>
          <w:rFonts w:eastAsia="Calibri" w:cstheme="minorHAnsi"/>
          <w:bCs/>
          <w:i/>
          <w:color w:val="231F20"/>
          <w:lang w:val="en-US"/>
        </w:rPr>
        <w:t xml:space="preserve">-u </w:t>
      </w:r>
      <w:proofErr w:type="spellStart"/>
      <w:r w:rsidRPr="00AE337C">
        <w:rPr>
          <w:rFonts w:eastAsia="Calibri" w:cstheme="minorHAnsi"/>
          <w:bCs/>
          <w:i/>
          <w:color w:val="231F20"/>
          <w:lang w:val="en-US"/>
        </w:rPr>
        <w:t>imaniye</w:t>
      </w:r>
      <w:proofErr w:type="spellEnd"/>
      <w:r w:rsidRPr="00AE337C">
        <w:rPr>
          <w:rFonts w:eastAsia="Calibri" w:cstheme="minorHAnsi"/>
          <w:bCs/>
          <w:color w:val="231F20"/>
          <w:lang w:val="en-US"/>
        </w:rPr>
        <w:t xml:space="preserve">) </w:t>
      </w:r>
      <w:r w:rsidR="00A02014" w:rsidRPr="00AE337C">
        <w:rPr>
          <w:rFonts w:eastAsia="Calibri" w:cstheme="minorHAnsi"/>
          <w:bCs/>
          <w:color w:val="231F20"/>
          <w:lang w:val="en-US"/>
        </w:rPr>
        <w:fldChar w:fldCharType="begin" w:fldLock="1"/>
      </w:r>
      <w:r w:rsidRPr="00AE337C">
        <w:rPr>
          <w:rFonts w:eastAsia="Calibri" w:cstheme="minorHAnsi"/>
          <w:bCs/>
          <w:color w:val="231F20"/>
          <w:lang w:val="en-US"/>
        </w:rPr>
        <w:instrText>ADDIN CSL_CITATION { "citationItems" : [ { "id" : "ITEM-1", "itemData" : { "author" : [ { "dropping-particle" : "", "family" : "Nursi", "given" : "Bediuzzaman Said", "non-dropping-particle" : "", "parse-names" : false, "suffix" : "" } ], "id" : "ITEM-1", "issued" : { "date-parts" : [ [ "2008" ] ] }, "publisher" : "Sozler Nesriyat Tic.ve San.A.S", "publisher-place" : "Istanbul, Turkey", "title" : "The Words (Turkish Sozler, Sukran Vahide, Trans)", "type" : "book" }, "uris" : [ "http://www.mendeley.com/documents/?uuid=46a91f86-7722-449b-8066-0f7e8ea9f8b6" ] } ], "mendeley" : { "formattedCitation" : "(Nursi, 2008b)", "plainTextFormattedCitation" : "(Nursi, 2008b)", "previouslyFormattedCitation" : "(Nursi, 2008b)" }, "properties" : { "noteIndex" : 0 }, "schema" : "https://github.com/citation-style-language/schema/raw/master/csl-citation.json" }</w:instrText>
      </w:r>
      <w:r w:rsidR="00A02014" w:rsidRPr="00AE337C">
        <w:rPr>
          <w:rFonts w:eastAsia="Calibri" w:cstheme="minorHAnsi"/>
          <w:bCs/>
          <w:color w:val="231F20"/>
          <w:lang w:val="en-US"/>
        </w:rPr>
        <w:fldChar w:fldCharType="separate"/>
      </w:r>
      <w:r w:rsidRPr="00AE337C">
        <w:rPr>
          <w:rFonts w:eastAsia="Calibri" w:cstheme="minorHAnsi"/>
          <w:bCs/>
          <w:noProof/>
          <w:color w:val="231F20"/>
          <w:lang w:val="en-US"/>
        </w:rPr>
        <w:t>(Nursi, 2008b)</w:t>
      </w:r>
      <w:r w:rsidR="00A02014" w:rsidRPr="00AE337C">
        <w:rPr>
          <w:rFonts w:eastAsia="Calibri" w:cstheme="minorHAnsi"/>
          <w:color w:val="231F20"/>
          <w:lang w:val="en-US"/>
        </w:rPr>
        <w:fldChar w:fldCharType="end"/>
      </w:r>
      <w:r w:rsidRPr="00AE337C">
        <w:rPr>
          <w:rFonts w:eastAsia="Calibri" w:cstheme="minorHAnsi"/>
          <w:bCs/>
          <w:color w:val="231F20"/>
          <w:lang w:val="en-US"/>
        </w:rPr>
        <w:t xml:space="preserve">. According to </w:t>
      </w:r>
      <w:r w:rsidR="00A02014" w:rsidRPr="00AE337C">
        <w:rPr>
          <w:rFonts w:eastAsia="Calibri" w:cstheme="minorHAnsi"/>
          <w:bCs/>
          <w:color w:val="231F20"/>
          <w:lang w:val="en-US"/>
        </w:rPr>
        <w:fldChar w:fldCharType="begin" w:fldLock="1"/>
      </w:r>
      <w:r w:rsidRPr="00AE337C">
        <w:rPr>
          <w:rFonts w:eastAsia="Calibri" w:cstheme="minorHAnsi"/>
          <w:bCs/>
          <w:color w:val="231F20"/>
          <w:lang w:val="en-US"/>
        </w:rPr>
        <w:instrText>ADDIN CSL_CITATION { "citationItems" : [ { "id" : "ITEM-1", "itemData" : { "author" : [ { "dropping-particle" : "", "family" : "Vahide", "given" : "Sukran", "non-dropping-particle" : "", "parse-names" : false, "suffix" : "" } ], "chapter-number" : "1", "container-title" : "Spiritual Dimensions of Bediuzzaman Said Nursi's Risale-I Nur", "editor" : [ { "dropping-particle" : "", "family" : "M.Sbu-Rabi", "given" : "Ibrahim", "non-dropping-particle" : "", "parse-names" : false, "suffix" : "" } ], "id" : "ITEM-1", "issued" : { "date-parts" : [ [ "2008" ] ] }, "publisher" : "State University of New York Press", "publisher-place" : "New York", "title" : "A Survey of the main spiritual themes of the Risale-i Nur", "type" : "chapter" }, "uris" : [ "http://www.mendeley.com/documents/?uuid=ea9038c3-b64a-4d74-9f42-72512292aad3" ] } ], "mendeley" : { "formattedCitation" : "(S. Vahide, 2008)", "manualFormatting" : "Vahide (2008)", "plainTextFormattedCitation" : "(S. Vahide, 2008)", "previouslyFormattedCitation" : "(S. Vahide, 2008)" }, "properties" : { "noteIndex" : 0 }, "schema" : "https://github.com/citation-style-language/schema/raw/master/csl-citation.json" }</w:instrText>
      </w:r>
      <w:r w:rsidR="00A02014" w:rsidRPr="00AE337C">
        <w:rPr>
          <w:rFonts w:eastAsia="Calibri" w:cstheme="minorHAnsi"/>
          <w:bCs/>
          <w:color w:val="231F20"/>
          <w:lang w:val="en-US"/>
        </w:rPr>
        <w:fldChar w:fldCharType="separate"/>
      </w:r>
      <w:r w:rsidRPr="00AE337C">
        <w:rPr>
          <w:rFonts w:eastAsia="Calibri" w:cstheme="minorHAnsi"/>
          <w:bCs/>
          <w:noProof/>
          <w:color w:val="231F20"/>
          <w:lang w:val="en-US"/>
        </w:rPr>
        <w:t>Vahide (2008)</w:t>
      </w:r>
      <w:r w:rsidR="00A02014" w:rsidRPr="00AE337C">
        <w:rPr>
          <w:rFonts w:eastAsia="Calibri" w:cstheme="minorHAnsi"/>
          <w:color w:val="231F20"/>
          <w:lang w:val="en-US"/>
        </w:rPr>
        <w:fldChar w:fldCharType="end"/>
      </w:r>
      <w:r w:rsidRPr="00AE337C">
        <w:rPr>
          <w:rFonts w:eastAsia="Calibri" w:cstheme="minorHAnsi"/>
          <w:bCs/>
          <w:color w:val="231F20"/>
          <w:lang w:val="en-US"/>
        </w:rPr>
        <w:t>, he refers to belief as affirmative belief (</w:t>
      </w:r>
      <w:proofErr w:type="spellStart"/>
      <w:r w:rsidRPr="00AE337C">
        <w:rPr>
          <w:rFonts w:eastAsia="Calibri" w:cstheme="minorHAnsi"/>
          <w:bCs/>
          <w:i/>
          <w:color w:val="231F20"/>
          <w:lang w:val="en-US"/>
        </w:rPr>
        <w:t>iman</w:t>
      </w:r>
      <w:proofErr w:type="spellEnd"/>
      <w:r w:rsidRPr="00AE337C">
        <w:rPr>
          <w:rFonts w:eastAsia="Calibri" w:cstheme="minorHAnsi"/>
          <w:bCs/>
          <w:i/>
          <w:color w:val="231F20"/>
          <w:lang w:val="en-US"/>
        </w:rPr>
        <w:t>-</w:t>
      </w:r>
      <w:r w:rsidR="00B65B25" w:rsidRPr="00AE337C">
        <w:rPr>
          <w:rFonts w:eastAsia="Calibri" w:cstheme="minorHAnsi"/>
          <w:bCs/>
          <w:i/>
          <w:color w:val="231F20"/>
          <w:lang w:val="en-US"/>
        </w:rPr>
        <w:t xml:space="preserve">ı </w:t>
      </w:r>
      <w:proofErr w:type="spellStart"/>
      <w:r w:rsidRPr="00AE337C">
        <w:rPr>
          <w:rFonts w:eastAsia="Calibri" w:cstheme="minorHAnsi"/>
          <w:bCs/>
          <w:i/>
          <w:color w:val="231F20"/>
          <w:lang w:val="en-US"/>
        </w:rPr>
        <w:t>tahkiki</w:t>
      </w:r>
      <w:proofErr w:type="spellEnd"/>
      <w:r w:rsidRPr="00AE337C">
        <w:rPr>
          <w:rFonts w:eastAsia="Calibri" w:cstheme="minorHAnsi"/>
          <w:bCs/>
          <w:color w:val="231F20"/>
          <w:lang w:val="en-US"/>
        </w:rPr>
        <w:t>) that relates to the science of belief and also the attributes of God and it does not refer to belief by imitation (</w:t>
      </w:r>
      <w:proofErr w:type="spellStart"/>
      <w:r w:rsidRPr="00AE337C">
        <w:rPr>
          <w:rFonts w:eastAsia="Calibri" w:cstheme="minorHAnsi"/>
          <w:bCs/>
          <w:i/>
          <w:color w:val="231F20"/>
          <w:lang w:val="en-US"/>
        </w:rPr>
        <w:t>taklid</w:t>
      </w:r>
      <w:r w:rsidR="00B65B25" w:rsidRPr="00AE337C">
        <w:rPr>
          <w:rFonts w:eastAsia="Calibri" w:cstheme="minorHAnsi"/>
          <w:bCs/>
          <w:i/>
          <w:color w:val="231F20"/>
          <w:lang w:val="en-US"/>
        </w:rPr>
        <w:t>î</w:t>
      </w:r>
      <w:proofErr w:type="spellEnd"/>
      <w:r w:rsidR="00B65B25" w:rsidRPr="00AE337C">
        <w:rPr>
          <w:rFonts w:eastAsia="Calibri" w:cstheme="minorHAnsi"/>
          <w:bCs/>
          <w:i/>
          <w:color w:val="231F20"/>
          <w:lang w:val="en-US"/>
        </w:rPr>
        <w:t xml:space="preserve"> </w:t>
      </w:r>
      <w:proofErr w:type="spellStart"/>
      <w:r w:rsidRPr="00AE337C">
        <w:rPr>
          <w:rFonts w:eastAsia="Calibri" w:cstheme="minorHAnsi"/>
          <w:bCs/>
          <w:i/>
          <w:color w:val="231F20"/>
          <w:lang w:val="en-US"/>
        </w:rPr>
        <w:t>iman</w:t>
      </w:r>
      <w:proofErr w:type="spellEnd"/>
      <w:r w:rsidRPr="00AE337C">
        <w:rPr>
          <w:rFonts w:eastAsia="Calibri" w:cstheme="minorHAnsi"/>
          <w:bCs/>
          <w:color w:val="231F20"/>
          <w:lang w:val="en-US"/>
        </w:rPr>
        <w:t>)  as it suffuses men’s heart, spirit and other faculties.</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r w:rsidRPr="00AE337C">
        <w:rPr>
          <w:rFonts w:cstheme="minorHAnsi"/>
          <w:color w:val="000000"/>
          <w:lang w:val="en-US"/>
        </w:rPr>
        <w:t xml:space="preserve">Eventually by adhering to the “truths of belief through reason, thought and their hearts” they will gain the insightful knowledge. </w:t>
      </w:r>
      <w:r w:rsidRPr="00AE337C">
        <w:rPr>
          <w:rFonts w:eastAsia="Times New Roman" w:cstheme="minorHAnsi"/>
          <w:color w:val="000000"/>
          <w:lang w:val="en-US" w:eastAsia="en-GB"/>
        </w:rPr>
        <w:t>It will benefit their own well-being and create good social interactions as they will be able to think rationally, control their negative emotions like anger, hatred and able to express their positive emotions like love and compassion.</w:t>
      </w:r>
      <w:r w:rsidR="00FF65D0" w:rsidRPr="00AE337C">
        <w:rPr>
          <w:rFonts w:eastAsia="Times New Roman" w:cstheme="minorHAnsi"/>
          <w:color w:val="000000"/>
          <w:lang w:val="en-US" w:eastAsia="en-GB"/>
        </w:rPr>
        <w:t xml:space="preserve"> </w:t>
      </w:r>
      <w:r w:rsidRPr="00AE337C">
        <w:rPr>
          <w:rFonts w:cstheme="minorHAnsi"/>
          <w:color w:val="000000"/>
          <w:lang w:val="en-US"/>
        </w:rPr>
        <w:t xml:space="preserve">However, </w:t>
      </w:r>
      <w:r w:rsidR="00A02014" w:rsidRPr="00AE337C">
        <w:rPr>
          <w:rFonts w:cstheme="minorHAnsi"/>
          <w:color w:val="000000"/>
          <w:lang w:val="en-US"/>
        </w:rPr>
        <w:fldChar w:fldCharType="begin" w:fldLock="1"/>
      </w:r>
      <w:r w:rsidRPr="00AE337C">
        <w:rPr>
          <w:rFonts w:cstheme="minorHAnsi"/>
          <w:color w:val="000000"/>
          <w:lang w:val="en-US"/>
        </w:rPr>
        <w:instrText>ADDIN CSL_CITATION { "citationItems" : [ { "id" : "ITEM-1", "itemData" : { "author" : [ { "dropping-particle" : "", "family" : "Bitzer", "given" : "Lloyd F.", "non-dropping-particle" : "", "parse-names" : false, "suffix" : "" } ], "container-title" : "Contemporary Rhetorical Theory", "editor" : [ { "dropping-particle" : "", "family" : "Luraites", "given" : "John", "non-dropping-particle" : "", "parse-names" : false, "suffix" : "" }, { "dropping-particle" : "", "family" : "Condit", "given" : "Celeste", "non-dropping-particle" : "", "parse-names" : false, "suffix" : "" }, { "dropping-particle" : "", "family" : "Caudill", "given" : "Sally", "non-dropping-particle" : "", "parse-names" : false, "suffix" : "" } ], "id" : "ITEM-1", "issued" : { "date-parts" : [ [ "1968" ] ] }, "page" : "217-225", "publisher" : "Guilford Press", "publisher-place" : "New Jersey, USA", "title" : "The Rhetorical Situation. Philosophy and Rhetoric", "type" : "chapter" }, "uris" : [ "http://www.mendeley.com/documents/?uuid=37c90812-ddd6-4d6b-8e58-830d081bf970" ] } ], "mendeley" : { "formattedCitation" : "(Lloyd F. Bitzer, 1968)", "manualFormatting" : "Bitzer (1968)", "plainTextFormattedCitation" : "(Lloyd F. Bitzer, 1968)", "previouslyFormattedCitation" : "(Lloyd F. Bitzer, 1968)" }, "properties" : { "noteIndex" : 0 }, "schema" : "https://github.com/citation-style-language/schema/raw/master/csl-citation.json" }</w:instrText>
      </w:r>
      <w:r w:rsidR="00A02014" w:rsidRPr="00AE337C">
        <w:rPr>
          <w:rFonts w:cstheme="minorHAnsi"/>
          <w:color w:val="000000"/>
          <w:lang w:val="en-US"/>
        </w:rPr>
        <w:fldChar w:fldCharType="separate"/>
      </w:r>
      <w:r w:rsidRPr="00AE337C">
        <w:rPr>
          <w:rFonts w:cstheme="minorHAnsi"/>
          <w:noProof/>
          <w:color w:val="000000"/>
          <w:lang w:val="en-US"/>
        </w:rPr>
        <w:t>Bitzer (1968)</w:t>
      </w:r>
      <w:r w:rsidR="00A02014" w:rsidRPr="00AE337C">
        <w:rPr>
          <w:rFonts w:cstheme="minorHAnsi"/>
          <w:color w:val="000000"/>
          <w:lang w:val="en-US"/>
        </w:rPr>
        <w:fldChar w:fldCharType="end"/>
      </w:r>
      <w:r w:rsidRPr="00AE337C">
        <w:rPr>
          <w:rFonts w:cstheme="minorHAnsi"/>
          <w:color w:val="000000"/>
          <w:lang w:val="en-US"/>
        </w:rPr>
        <w:t xml:space="preserve"> mentions that in a rhetorical situation besides the controlling exigence, there also exist ancillary exigencies which are caused by the exigencies that still exist. In this </w:t>
      </w:r>
      <w:r w:rsidRPr="00AE337C">
        <w:rPr>
          <w:rFonts w:cstheme="minorHAnsi"/>
          <w:i/>
          <w:color w:val="000000"/>
          <w:lang w:val="en-US"/>
        </w:rPr>
        <w:t>Sermon</w:t>
      </w:r>
      <w:r w:rsidRPr="00AE337C">
        <w:rPr>
          <w:rFonts w:cstheme="minorHAnsi"/>
          <w:color w:val="000000"/>
          <w:lang w:val="en-US"/>
        </w:rPr>
        <w:t xml:space="preserve">, each of the “six dire sicknesses” is the problem that occur from these ancillary exigencies. The next section explains how </w:t>
      </w:r>
      <w:proofErr w:type="spellStart"/>
      <w:r w:rsidRPr="00AE337C">
        <w:rPr>
          <w:rFonts w:cstheme="minorHAnsi"/>
          <w:color w:val="000000"/>
          <w:lang w:val="en-US"/>
        </w:rPr>
        <w:t>Nursi</w:t>
      </w:r>
      <w:proofErr w:type="spellEnd"/>
      <w:r w:rsidRPr="00AE337C">
        <w:rPr>
          <w:rFonts w:cstheme="minorHAnsi"/>
          <w:color w:val="000000"/>
          <w:lang w:val="en-US"/>
        </w:rPr>
        <w:t xml:space="preserve"> calls to his audience to be mediators of change as he provides and elaborates the six ‘Words’ as the solutions for the “six dire sicknesses.”</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3</w:t>
      </w:r>
      <w:r w:rsidR="00D308E2" w:rsidRPr="00AE337C">
        <w:rPr>
          <w:rFonts w:cstheme="minorHAnsi"/>
          <w:b/>
          <w:lang w:val="en-US"/>
        </w:rPr>
        <w:t>.2. The first ‘Word,’ hope for the sickness of distress, despair and hopelessness</w:t>
      </w:r>
    </w:p>
    <w:p w:rsidR="00D308E2" w:rsidRPr="00AE337C" w:rsidRDefault="00D308E2" w:rsidP="00AE337C">
      <w:pPr>
        <w:widowControl w:val="0"/>
        <w:autoSpaceDE w:val="0"/>
        <w:autoSpaceDN w:val="0"/>
        <w:adjustRightInd w:val="0"/>
        <w:spacing w:after="120" w:line="240" w:lineRule="auto"/>
        <w:ind w:firstLine="567"/>
        <w:jc w:val="both"/>
        <w:rPr>
          <w:rFonts w:cstheme="minorHAnsi"/>
          <w:lang w:val="en-US"/>
        </w:rPr>
      </w:pPr>
      <w:proofErr w:type="spellStart"/>
      <w:r w:rsidRPr="00AE337C">
        <w:rPr>
          <w:rFonts w:cstheme="minorHAnsi"/>
          <w:color w:val="000000"/>
          <w:lang w:val="en-US"/>
        </w:rPr>
        <w:t>Nursi</w:t>
      </w:r>
      <w:proofErr w:type="spellEnd"/>
      <w:r w:rsidRPr="00AE337C">
        <w:rPr>
          <w:rFonts w:cstheme="minorHAnsi"/>
          <w:color w:val="000000"/>
          <w:lang w:val="en-US"/>
        </w:rPr>
        <w:t xml:space="preserve"> explicitly utters the first ‘Word,’ hope</w:t>
      </w:r>
      <w:r w:rsidR="00F931E7">
        <w:rPr>
          <w:rFonts w:cstheme="minorHAnsi"/>
          <w:color w:val="000000"/>
          <w:lang w:val="en-US"/>
        </w:rPr>
        <w:t xml:space="preserve"> </w:t>
      </w:r>
      <w:r w:rsidRPr="00AE337C">
        <w:rPr>
          <w:rFonts w:cstheme="minorHAnsi"/>
          <w:color w:val="000000"/>
          <w:lang w:val="en-US"/>
        </w:rPr>
        <w:t xml:space="preserve">(p. 27) as a solution for the implied sickness of distress and also as the first solution for the sicknesses of despair and hopelessness. </w:t>
      </w:r>
      <w:proofErr w:type="spellStart"/>
      <w:r w:rsidRPr="00AE337C">
        <w:rPr>
          <w:rFonts w:cstheme="minorHAnsi"/>
          <w:color w:val="000000"/>
          <w:lang w:val="en-US"/>
        </w:rPr>
        <w:t>Nursi</w:t>
      </w:r>
      <w:proofErr w:type="spellEnd"/>
      <w:r w:rsidRPr="00AE337C">
        <w:rPr>
          <w:rFonts w:cstheme="minorHAnsi"/>
          <w:color w:val="000000"/>
          <w:lang w:val="en-US"/>
        </w:rPr>
        <w:t xml:space="preserve"> asserts the solution of hope before he mentions the ancillary exigencies that lead to the problem of these sicknesses. </w:t>
      </w:r>
      <w:proofErr w:type="spellStart"/>
      <w:r w:rsidRPr="00AE337C">
        <w:rPr>
          <w:rFonts w:cstheme="minorHAnsi"/>
          <w:color w:val="000000"/>
          <w:lang w:val="en-US"/>
        </w:rPr>
        <w:t>Herelates</w:t>
      </w:r>
      <w:proofErr w:type="spellEnd"/>
      <w:r w:rsidRPr="00AE337C">
        <w:rPr>
          <w:rFonts w:cstheme="minorHAnsi"/>
          <w:color w:val="000000"/>
          <w:lang w:val="en-US"/>
        </w:rPr>
        <w:t xml:space="preserve"> the virtue of hope with God’s merciful and compassionate attributes. Hope closely relates to belief </w:t>
      </w:r>
      <w:r w:rsidR="00A02014" w:rsidRPr="00AE337C">
        <w:rPr>
          <w:rFonts w:eastAsia="Times New Roman" w:cstheme="minorHAnsi"/>
          <w:color w:val="000000"/>
          <w:lang w:val="en-US" w:eastAsia="en-GB"/>
        </w:rPr>
        <w:fldChar w:fldCharType="begin" w:fldLock="1"/>
      </w:r>
      <w:r w:rsidRPr="00AE337C">
        <w:rPr>
          <w:rFonts w:eastAsia="Times New Roman" w:cstheme="minorHAnsi"/>
          <w:color w:val="000000"/>
          <w:lang w:val="en-US" w:eastAsia="en-GB"/>
        </w:rPr>
        <w:instrText>ADDIN CSL_CITATION { "citationItems" : [ { "id" : "ITEM-1", "itemData" : { "author" : [ { "dropping-particle" : "", "family" : "Nursi", "given" : "Bediuzzaman Said", "non-dropping-particle" : "", "parse-names" : false, "suffix" : "" } ], "id" : "ITEM-1", "issued" : { "date-parts" : [ [ "2011" ] ] }, "publisher" : "Sozler Nesriyat Tic.ve San.A.S", "publisher-place" : "Istanbul, Turkey", "title" : "The Flashes (Turkish Lem\u2019alar, Sukran Vahide, Trans)", "type" : "book" }, "uris" : [ "http://www.mendeley.com/documents/?uuid=eec872e5-7f9a-441b-854d-81cafefb7620" ] } ], "mendeley" : { "formattedCitation" : "(Nursi, 2011b)", "manualFormatting" : "(Nursi, 2000;", "plainTextFormattedCitation" : "(Nursi, 2011b)", "previouslyFormattedCitation" : "(Nursi, 2011b)" }, "properties" : { "noteIndex" : 0 }, "schema" : "https://github.com/citation-style-language/schema/raw/master/csl-citation.json" }</w:instrText>
      </w:r>
      <w:r w:rsidR="00A02014" w:rsidRPr="00AE337C">
        <w:rPr>
          <w:rFonts w:eastAsia="Times New Roman" w:cstheme="minorHAnsi"/>
          <w:color w:val="000000"/>
          <w:lang w:val="en-US" w:eastAsia="en-GB"/>
        </w:rPr>
        <w:fldChar w:fldCharType="separate"/>
      </w:r>
      <w:r w:rsidRPr="00AE337C">
        <w:rPr>
          <w:rFonts w:eastAsia="Times New Roman" w:cstheme="minorHAnsi"/>
          <w:noProof/>
          <w:color w:val="000000"/>
          <w:lang w:val="en-US" w:eastAsia="en-GB"/>
        </w:rPr>
        <w:t>(Nursi, 2000;</w:t>
      </w:r>
      <w:r w:rsidR="00A02014" w:rsidRPr="00AE337C">
        <w:rPr>
          <w:rFonts w:eastAsia="Times New Roman" w:cstheme="minorHAnsi"/>
          <w:color w:val="000000"/>
          <w:lang w:val="en-US" w:eastAsia="en-GB"/>
        </w:rPr>
        <w:fldChar w:fldCharType="end"/>
      </w:r>
      <w:r w:rsidR="00A02014" w:rsidRPr="00AE337C">
        <w:rPr>
          <w:rFonts w:eastAsia="Times New Roman" w:cstheme="minorHAnsi"/>
          <w:color w:val="000000"/>
          <w:lang w:val="en-US" w:eastAsia="en-GB"/>
        </w:rPr>
        <w:fldChar w:fldCharType="begin" w:fldLock="1"/>
      </w:r>
      <w:r w:rsidRPr="00AE337C">
        <w:rPr>
          <w:rFonts w:eastAsia="Times New Roman" w:cstheme="minorHAnsi"/>
          <w:color w:val="000000"/>
          <w:lang w:val="en-US" w:eastAsia="en-GB"/>
        </w:rPr>
        <w:instrText>ADDIN CSL_CITATION { "citationItems" : [ { "id" : "ITEM-1", "itemData" : { "ISBN" : "1405178485, 9781405178488", "author" : [ { "dropping-particle" : "", "family" : "Abu-Rabi'", "given" : "Ibrahim M.", "non-dropping-particle" : "", "parse-names" : false, "suffix" : "" } ], "id" : "ITEM-1", "issued" : { "date-parts" : [ [ "2008" ] ] }, "number-of-pages" : "696", "publisher" : "John Wiley &amp; Sons", "title" : "The Blackwell Companion to Contemporary Islamic Thought", "type" : "book" }, "uris" : [ "http://www.mendeley.com/documents/?uuid=e28744d3-c716-4ec8-abe3-624d4091d71b" ] } ], "mendeley" : { "formattedCitation" : "(Abu-Rabi\u2019, 2008b)", "manualFormatting" : "Abu-Rabi\u2019, 2008)", "plainTextFormattedCitation" : "(Abu-Rabi\u2019, 2008b)", "previouslyFormattedCitation" : "(Abu-Rabi\u2019, 2008b)" }, "properties" : { "noteIndex" : 0 }, "schema" : "https://github.com/citation-style-language/schema/raw/master/csl-citation.json" }</w:instrText>
      </w:r>
      <w:r w:rsidR="00A02014" w:rsidRPr="00AE337C">
        <w:rPr>
          <w:rFonts w:eastAsia="Times New Roman" w:cstheme="minorHAnsi"/>
          <w:color w:val="000000"/>
          <w:lang w:val="en-US" w:eastAsia="en-GB"/>
        </w:rPr>
        <w:fldChar w:fldCharType="separate"/>
      </w:r>
      <w:r w:rsidRPr="00AE337C">
        <w:rPr>
          <w:rFonts w:eastAsia="Times New Roman" w:cstheme="minorHAnsi"/>
          <w:noProof/>
          <w:color w:val="000000"/>
          <w:lang w:val="en-US" w:eastAsia="en-GB"/>
        </w:rPr>
        <w:t>Abu-Rabi’, 2008)</w:t>
      </w:r>
      <w:r w:rsidR="00A02014" w:rsidRPr="00AE337C">
        <w:rPr>
          <w:rFonts w:eastAsia="Times New Roman" w:cstheme="minorHAnsi"/>
          <w:color w:val="000000"/>
          <w:lang w:val="en-US" w:eastAsia="en-GB"/>
        </w:rPr>
        <w:fldChar w:fldCharType="end"/>
      </w:r>
      <w:r w:rsidRPr="00AE337C">
        <w:rPr>
          <w:rFonts w:eastAsia="Times New Roman" w:cstheme="minorHAnsi"/>
          <w:color w:val="000000"/>
          <w:lang w:val="en-US" w:eastAsia="en-GB"/>
        </w:rPr>
        <w:t xml:space="preserve">. Hope involves working hard to achieve a desire and it’s a theological virtue that activates when a person </w:t>
      </w:r>
      <w:r w:rsidRPr="00AE337C">
        <w:rPr>
          <w:rFonts w:eastAsia="Times New Roman" w:cstheme="minorHAnsi"/>
          <w:color w:val="000000"/>
          <w:lang w:val="en-US" w:eastAsia="en-GB"/>
        </w:rPr>
        <w:lastRenderedPageBreak/>
        <w:t xml:space="preserve">who believes of positive changes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"O'Hara", "given" : "Denis", "non-dropping-particle" : "", "parse-names" : false, "suffix" : "" } ], "id" : "ITEM-1", "issued" : { "date-parts" : [ [ "2013" ] ] }, "number-of-pages" : "208", "publisher" : "SAGE", "publisher-place" : "University of Abertay, Dundee", "title" : "Hope in Counseling and Psychotherapy", "type" : "book" }, "uris" : [ "http://www.mendeley.com/documents/?uuid=a825faa9-a129-41eb-ac4e-6f7477a5b1d5" ] } ], "mendeley" : { "formattedCitation" : "(O\u2019Hara, 2013)", "plainTextFormattedCitation" : "(O\u2019Hara, 2013)", "previouslyFormattedCitation" : "(O\u2019Hara, 2013)"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Pr="00AE337C">
        <w:rPr>
          <w:rFonts w:eastAsia="Times New Roman" w:cstheme="minorHAnsi"/>
          <w:noProof/>
          <w:snapToGrid w:val="0"/>
          <w:lang w:val="en-US"/>
        </w:rPr>
        <w:t>(O’Hara, 2013)</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w:t>
      </w:r>
      <w:proofErr w:type="spellStart"/>
      <w:r w:rsidRPr="00AE337C">
        <w:rPr>
          <w:rFonts w:cstheme="minorHAnsi"/>
          <w:color w:val="000000"/>
          <w:lang w:val="en-US"/>
        </w:rPr>
        <w:t>Nursi</w:t>
      </w:r>
      <w:proofErr w:type="spellEnd"/>
      <w:r w:rsidRPr="00AE337C">
        <w:rPr>
          <w:rFonts w:cstheme="minorHAnsi"/>
          <w:color w:val="000000"/>
          <w:lang w:val="en-US"/>
        </w:rPr>
        <w:t xml:space="preserve"> considers the significance of the virtue of hope and </w:t>
      </w:r>
      <w:proofErr w:type="spellStart"/>
      <w:r w:rsidRPr="00AE337C">
        <w:rPr>
          <w:rFonts w:cstheme="minorHAnsi"/>
          <w:color w:val="000000"/>
          <w:lang w:val="en-US"/>
        </w:rPr>
        <w:t>emphasizesit</w:t>
      </w:r>
      <w:proofErr w:type="spellEnd"/>
      <w:r w:rsidRPr="00AE337C">
        <w:rPr>
          <w:rFonts w:cstheme="minorHAnsi"/>
          <w:color w:val="000000"/>
          <w:lang w:val="en-US"/>
        </w:rPr>
        <w:t xml:space="preserve"> because it is based on belief and it brings happiness. He asserts that hope brings happiness through progression in Islam and then he affirms of the “sun of happiness” (p. 27) that reflects the bright future of Islam in contentment. </w:t>
      </w:r>
      <w:r w:rsidRPr="00AE337C">
        <w:rPr>
          <w:rFonts w:eastAsia="Times New Roman" w:cstheme="minorHAnsi"/>
          <w:snapToGrid w:val="0"/>
          <w:lang w:val="en-US"/>
        </w:rPr>
        <w:t xml:space="preserve">A positive well-being life is a </w:t>
      </w:r>
      <w:r w:rsidRPr="00AE337C">
        <w:rPr>
          <w:rFonts w:cstheme="minorHAnsi"/>
          <w:lang w:val="en-US"/>
        </w:rPr>
        <w:t xml:space="preserve">content, good, meaningful and worthwhile life based on happiness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"Lyubomirsky", "given" : "Sonja", "non-dropping-particle" : "", "parse-names" : false, "suffix" : "" } ], "edition" : "Reprint ed", "id" : "ITEM-1", "issued" : { "date-parts" : [ [ "2008" ] ] }, "number-of-pages" : "384", "publisher" : "Penguin Books", "publisher-place" : "UK", "title" : "The How of Happiness: A New Approach to Getting the Life You Want", "type" : "book" }, "uris" : [ "http://www.mendeley.com/documents/?uuid=cf8e2e55-b03f-45c8-8ea5-d9d8649dddab" ] } ], "mendeley" : { "formattedCitation" : "(Lyubomirsky, 2008)", "plainTextFormattedCitation" : "(Lyubomirsky, 2008)", "previouslyFormattedCitation" : "(Lyubomirsky, 2008)"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(Lyubomirsky, 2008)</w:t>
      </w:r>
      <w:r w:rsidR="00A02014" w:rsidRPr="00AE337C">
        <w:rPr>
          <w:rFonts w:cstheme="minorHAnsi"/>
          <w:lang w:val="en-US"/>
        </w:rPr>
        <w:fldChar w:fldCharType="end"/>
      </w:r>
      <w:r w:rsidRPr="00AE337C">
        <w:rPr>
          <w:rFonts w:cstheme="minorHAnsi"/>
          <w:lang w:val="en-US"/>
        </w:rPr>
        <w:t xml:space="preserve">. </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proofErr w:type="spellStart"/>
      <w:r w:rsidRPr="00AE337C">
        <w:rPr>
          <w:rFonts w:cstheme="minorHAnsi"/>
          <w:color w:val="000000"/>
          <w:lang w:val="en-US"/>
        </w:rPr>
        <w:t>Nursi</w:t>
      </w:r>
      <w:proofErr w:type="spellEnd"/>
      <w:r w:rsidRPr="00AE337C">
        <w:rPr>
          <w:rFonts w:cstheme="minorHAnsi"/>
          <w:color w:val="000000"/>
          <w:lang w:val="en-US"/>
        </w:rPr>
        <w:t xml:space="preserve"> calls his audience as he provides the first ‘Word,’ hope. He appeals to them to “nurture a strong hope of God’s mercy” and to “submit to the Divine </w:t>
      </w:r>
      <w:r w:rsidR="00F931E7" w:rsidRPr="00AE337C">
        <w:rPr>
          <w:rFonts w:cstheme="minorHAnsi"/>
          <w:color w:val="000000"/>
          <w:lang w:val="en-US"/>
        </w:rPr>
        <w:t>Determining” (</w:t>
      </w:r>
      <w:r w:rsidRPr="00AE337C">
        <w:rPr>
          <w:rFonts w:cstheme="minorHAnsi"/>
          <w:color w:val="000000"/>
          <w:lang w:val="en-US"/>
        </w:rPr>
        <w:t xml:space="preserve">p. 27). These two actions relate to his ‘positive action’ principle as taking constructive actions to make changes in order to overcome the internal weaknesses as a man’s responsibility. Thus, by not interfering </w:t>
      </w:r>
      <w:proofErr w:type="spellStart"/>
      <w:r w:rsidRPr="00AE337C">
        <w:rPr>
          <w:rFonts w:cstheme="minorHAnsi"/>
          <w:color w:val="000000"/>
          <w:lang w:val="en-US"/>
        </w:rPr>
        <w:t>withGod’s</w:t>
      </w:r>
      <w:proofErr w:type="spellEnd"/>
      <w:r w:rsidRPr="00AE337C">
        <w:rPr>
          <w:rFonts w:cstheme="minorHAnsi"/>
          <w:color w:val="000000"/>
          <w:lang w:val="en-US"/>
        </w:rPr>
        <w:t xml:space="preserve"> concern, he appeals them to work and strengthen their belief. He assures that his audience can be mediators of changes based on the past history as he utters  “History shows that the Muslims increased in civilization and progressed in relation to the power of the truths of Islam; that is, to the degree that they acted in accordance with that power” (p. 28).</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lang w:val="en-US"/>
        </w:rPr>
      </w:pPr>
      <w:proofErr w:type="spellStart"/>
      <w:r w:rsidRPr="00AE337C">
        <w:rPr>
          <w:rFonts w:eastAsia="Times New Roman" w:cstheme="minorHAnsi"/>
          <w:color w:val="000000"/>
          <w:lang w:val="en-US"/>
        </w:rPr>
        <w:t>Nursi</w:t>
      </w:r>
      <w:proofErr w:type="spellEnd"/>
      <w:r w:rsidRPr="00AE337C">
        <w:rPr>
          <w:rFonts w:eastAsia="Times New Roman" w:cstheme="minorHAnsi"/>
          <w:color w:val="000000"/>
          <w:lang w:val="en-US"/>
        </w:rPr>
        <w:t xml:space="preserve"> senses the urgency in the situation his audience is facing. He continues his </w:t>
      </w:r>
      <w:r w:rsidRPr="00AE337C">
        <w:rPr>
          <w:rFonts w:eastAsia="Times New Roman" w:cstheme="minorHAnsi"/>
          <w:i/>
          <w:color w:val="000000"/>
          <w:lang w:val="en-US"/>
        </w:rPr>
        <w:t>Sermon</w:t>
      </w:r>
      <w:r w:rsidRPr="00AE337C">
        <w:rPr>
          <w:rFonts w:eastAsia="Times New Roman" w:cstheme="minorHAnsi"/>
          <w:color w:val="000000"/>
          <w:lang w:val="en-US"/>
        </w:rPr>
        <w:t xml:space="preserve"> by </w:t>
      </w:r>
      <w:proofErr w:type="spellStart"/>
      <w:r w:rsidRPr="00AE337C">
        <w:rPr>
          <w:rFonts w:eastAsia="Times New Roman" w:cstheme="minorHAnsi"/>
          <w:color w:val="000000"/>
          <w:lang w:val="en-US"/>
        </w:rPr>
        <w:t>referringto</w:t>
      </w:r>
      <w:proofErr w:type="spellEnd"/>
      <w:r w:rsidRPr="00AE337C">
        <w:rPr>
          <w:rFonts w:eastAsia="Times New Roman" w:cstheme="minorHAnsi"/>
          <w:color w:val="000000"/>
          <w:lang w:val="en-US"/>
        </w:rPr>
        <w:t xml:space="preserve"> the “veils” as the “eight serious obstacles “which consist of despotism” (p. 32). The serious condition of despotism has caused oppression in the situation which eventually becomes an ancillary exigence. He also refers to the phrase “eclipsed</w:t>
      </w:r>
      <w:r w:rsidR="00FF65D0" w:rsidRPr="00AE337C">
        <w:rPr>
          <w:rFonts w:eastAsia="Times New Roman" w:cstheme="minorHAnsi"/>
          <w:color w:val="000000"/>
          <w:lang w:val="en-US"/>
        </w:rPr>
        <w:t xml:space="preserve"> </w:t>
      </w:r>
      <w:r w:rsidRPr="00AE337C">
        <w:rPr>
          <w:rFonts w:eastAsia="Times New Roman" w:cstheme="minorHAnsi"/>
          <w:color w:val="000000"/>
          <w:lang w:val="en-US"/>
        </w:rPr>
        <w:t>the sun of Islam” (p. 32) as blocking the growth of Islamic strength.</w:t>
      </w:r>
      <w:r w:rsidR="00FF65D0" w:rsidRPr="00AE337C">
        <w:rPr>
          <w:rFonts w:eastAsia="Times New Roman" w:cstheme="minorHAnsi"/>
          <w:color w:val="000000"/>
          <w:lang w:val="en-US"/>
        </w:rPr>
        <w:t xml:space="preserve"> </w:t>
      </w:r>
      <w:r w:rsidRPr="00AE337C">
        <w:rPr>
          <w:rFonts w:eastAsia="Times New Roman" w:cstheme="minorHAnsi"/>
          <w:color w:val="000000"/>
          <w:lang w:val="en-US"/>
        </w:rPr>
        <w:t xml:space="preserve">Then, he asserts the phrase “true dawn” which refers to </w:t>
      </w:r>
      <w:r w:rsidRPr="00AE337C">
        <w:rPr>
          <w:rFonts w:cstheme="minorHAnsi"/>
          <w:color w:val="000000"/>
          <w:lang w:val="en-US"/>
        </w:rPr>
        <w:t>the first ‘Word,’ hope</w:t>
      </w:r>
      <w:r w:rsidRPr="00AE337C">
        <w:rPr>
          <w:rFonts w:eastAsia="Times New Roman" w:cstheme="minorHAnsi"/>
          <w:color w:val="000000"/>
          <w:lang w:val="en-US"/>
        </w:rPr>
        <w:t xml:space="preserve"> (p. 27) as the response. </w:t>
      </w:r>
      <w:proofErr w:type="spellStart"/>
      <w:r w:rsidRPr="00AE337C">
        <w:rPr>
          <w:rFonts w:eastAsia="Times New Roman" w:cstheme="minorHAnsi"/>
          <w:color w:val="000000"/>
          <w:lang w:val="en-US"/>
        </w:rPr>
        <w:t>Nursi</w:t>
      </w:r>
      <w:proofErr w:type="spellEnd"/>
      <w:r w:rsidRPr="00AE337C">
        <w:rPr>
          <w:rFonts w:eastAsia="Times New Roman" w:cstheme="minorHAnsi"/>
          <w:color w:val="000000"/>
          <w:lang w:val="en-US"/>
        </w:rPr>
        <w:t xml:space="preserve"> has explained about the virtue of hope which is based on God’s mercy and it relates to happiness. He is aware that his audience’s oppressed situation has caused</w:t>
      </w:r>
      <w:r w:rsidR="00FF65D0" w:rsidRPr="00AE337C">
        <w:rPr>
          <w:rFonts w:eastAsia="Times New Roman" w:cstheme="minorHAnsi"/>
          <w:color w:val="000000"/>
          <w:lang w:val="en-US"/>
        </w:rPr>
        <w:t xml:space="preserve"> </w:t>
      </w:r>
      <w:r w:rsidRPr="00AE337C">
        <w:rPr>
          <w:rFonts w:eastAsia="Times New Roman" w:cstheme="minorHAnsi"/>
          <w:color w:val="000000"/>
          <w:lang w:val="en-US"/>
        </w:rPr>
        <w:t xml:space="preserve">them extreme anxiety and it leads to the implied sickness of distress which is the opposite of happiness. </w:t>
      </w:r>
      <w:proofErr w:type="spellStart"/>
      <w:r w:rsidRPr="00AE337C">
        <w:rPr>
          <w:rFonts w:eastAsia="Times New Roman" w:cstheme="minorHAnsi"/>
          <w:color w:val="000000"/>
          <w:lang w:val="en-US"/>
        </w:rPr>
        <w:t>Nursi</w:t>
      </w:r>
      <w:proofErr w:type="spellEnd"/>
      <w:r w:rsidRPr="00AE337C">
        <w:rPr>
          <w:rFonts w:eastAsia="Times New Roman" w:cstheme="minorHAnsi"/>
          <w:color w:val="000000"/>
          <w:lang w:val="en-US"/>
        </w:rPr>
        <w:t xml:space="preserve"> implies this sickness of distress as</w:t>
      </w:r>
      <w:r w:rsidR="00FF65D0" w:rsidRPr="00AE337C">
        <w:rPr>
          <w:rFonts w:eastAsia="Times New Roman" w:cstheme="minorHAnsi"/>
          <w:color w:val="000000"/>
          <w:lang w:val="en-US"/>
        </w:rPr>
        <w:t xml:space="preserve"> </w:t>
      </w:r>
      <w:r w:rsidRPr="00AE337C">
        <w:rPr>
          <w:rFonts w:eastAsia="Times New Roman" w:cstheme="minorHAnsi"/>
          <w:color w:val="000000"/>
          <w:lang w:val="en-US"/>
        </w:rPr>
        <w:t>one of the “six dire sicknesses” (p. 26). Thus, before he elaborates the problem of distress and provides the constraints as the fitting responses and he consoles his audience by providing the solution of hope.</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lang w:val="en-US"/>
        </w:rPr>
      </w:pPr>
      <w:proofErr w:type="spellStart"/>
      <w:r w:rsidRPr="00AE337C">
        <w:rPr>
          <w:rFonts w:cstheme="minorHAnsi"/>
          <w:color w:val="000000"/>
          <w:lang w:val="en-US"/>
        </w:rPr>
        <w:t>Nursi</w:t>
      </w:r>
      <w:proofErr w:type="spellEnd"/>
      <w:r w:rsidRPr="00AE337C">
        <w:rPr>
          <w:rFonts w:cstheme="minorHAnsi"/>
          <w:color w:val="000000"/>
          <w:lang w:val="en-US"/>
        </w:rPr>
        <w:t xml:space="preserve"> utters again “O my brothers who are here in the Umayyad Mosque and those who are in the mosque of the world of Islam half a century later!” (p. 35). </w:t>
      </w:r>
      <w:r w:rsidRPr="00AE337C">
        <w:rPr>
          <w:rFonts w:cstheme="minorHAnsi"/>
          <w:lang w:val="en-US"/>
        </w:rPr>
        <w:t xml:space="preserve">He continues to address his </w:t>
      </w:r>
      <w:r w:rsidRPr="00AE337C">
        <w:rPr>
          <w:rFonts w:cstheme="minorHAnsi"/>
          <w:lang w:val="en-US"/>
        </w:rPr>
        <w:lastRenderedPageBreak/>
        <w:t>present audience in the Umayyad Mosque as his brothers and also his future audience in other mosques from the Islamic regions. He foresees</w:t>
      </w:r>
      <w:r w:rsidR="00FF65D0" w:rsidRPr="00AE337C">
        <w:rPr>
          <w:rFonts w:cstheme="minorHAnsi"/>
          <w:lang w:val="en-US"/>
        </w:rPr>
        <w:t xml:space="preserve"> </w:t>
      </w:r>
      <w:r w:rsidRPr="00AE337C">
        <w:rPr>
          <w:rFonts w:cstheme="minorHAnsi"/>
          <w:lang w:val="en-US"/>
        </w:rPr>
        <w:t xml:space="preserve">that the problems </w:t>
      </w:r>
      <w:proofErr w:type="spellStart"/>
      <w:r w:rsidRPr="00AE337C">
        <w:rPr>
          <w:rFonts w:cstheme="minorHAnsi"/>
          <w:lang w:val="en-US"/>
        </w:rPr>
        <w:t>facedby</w:t>
      </w:r>
      <w:proofErr w:type="spellEnd"/>
      <w:r w:rsidRPr="00AE337C">
        <w:rPr>
          <w:rFonts w:cstheme="minorHAnsi"/>
          <w:lang w:val="en-US"/>
        </w:rPr>
        <w:t xml:space="preserve"> his present audience are also faced by other Muslims in different regions, so he widens his scope of audience. He hopes for unity in diversity of thoughts among the Muslims and true Christians as his expectation. He advises his students that it is their task  to avoid arguing with those who have belief and with the Christians who </w:t>
      </w:r>
      <w:proofErr w:type="spellStart"/>
      <w:r w:rsidRPr="00AE337C">
        <w:rPr>
          <w:rFonts w:cstheme="minorHAnsi"/>
          <w:lang w:val="en-US"/>
        </w:rPr>
        <w:t>recognise</w:t>
      </w:r>
      <w:proofErr w:type="spellEnd"/>
      <w:r w:rsidRPr="00AE337C">
        <w:rPr>
          <w:rFonts w:cstheme="minorHAnsi"/>
          <w:lang w:val="en-US"/>
        </w:rPr>
        <w:t xml:space="preserve"> God and accept the reality of the Hereafter as he mentions “</w:t>
      </w:r>
      <w:proofErr w:type="spellStart"/>
      <w:r w:rsidRPr="00AE337C">
        <w:rPr>
          <w:rFonts w:cstheme="minorHAnsi"/>
          <w:i/>
          <w:lang w:val="en-US"/>
        </w:rPr>
        <w:t>Risale-</w:t>
      </w:r>
      <w:r w:rsidR="00B65B25" w:rsidRPr="00AE337C">
        <w:rPr>
          <w:rFonts w:cstheme="minorHAnsi"/>
          <w:i/>
          <w:lang w:val="en-US"/>
        </w:rPr>
        <w:t>i</w:t>
      </w:r>
      <w:proofErr w:type="spellEnd"/>
      <w:r w:rsidR="00B65B25" w:rsidRPr="00AE337C">
        <w:rPr>
          <w:rFonts w:cstheme="minorHAnsi"/>
          <w:i/>
          <w:lang w:val="en-US"/>
        </w:rPr>
        <w:t xml:space="preserve"> </w:t>
      </w:r>
      <w:r w:rsidRPr="00AE337C">
        <w:rPr>
          <w:rFonts w:cstheme="minorHAnsi"/>
          <w:i/>
          <w:lang w:val="en-US"/>
        </w:rPr>
        <w:t>Nur</w:t>
      </w:r>
      <w:r w:rsidRPr="00AE337C">
        <w:rPr>
          <w:rFonts w:cstheme="minorHAnsi"/>
          <w:lang w:val="en-US"/>
        </w:rPr>
        <w:t xml:space="preserve"> students are obligated to act with tolerance in order not to put social or political barriers in front of the flourishing of the </w:t>
      </w:r>
      <w:proofErr w:type="spellStart"/>
      <w:r w:rsidRPr="00AE337C">
        <w:rPr>
          <w:rFonts w:cstheme="minorHAnsi"/>
          <w:i/>
          <w:lang w:val="en-US"/>
        </w:rPr>
        <w:t>Risale-iNur</w:t>
      </w:r>
      <w:proofErr w:type="spellEnd"/>
      <w:r w:rsidRPr="00AE337C">
        <w:rPr>
          <w:rFonts w:cstheme="minorHAnsi"/>
          <w:lang w:val="en-US"/>
        </w:rPr>
        <w:t xml:space="preserve"> in the Muslim world”</w:t>
      </w:r>
      <w:r w:rsidR="00FF65D0" w:rsidRPr="00AE337C">
        <w:rPr>
          <w:rFonts w:cstheme="minorHAnsi"/>
          <w:lang w:val="en-US"/>
        </w:rPr>
        <w:t xml:space="preserve">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"Nursi", "given" : "Bediuzzaman Said", "non-dropping-particle" : "", "parse-names" : false, "suffix" : "" } ], "id" : "ITEM-1", "issued" : { "date-parts" : [ [ "2006" ] ] }, "publisher" : "Soz Basin Yagin", "publisher-place" : "Istanbul, Turkey", "title" : "The Kastamonu Letter (Turkish Kastamonu Lahikasi) (Original work published 1936-1943)", "type" : "book" }, "uris" : [ "http://www.mendeley.com/documents/?uuid=8444b574-25b1-4274-98fa-ce412ea5107c" ] } ], "mendeley" : { "formattedCitation" : "(Nursi, 2006)", "manualFormatting" : "(Nursi, 2006, p. 247)", "plainTextFormattedCitation" : "(Nursi, 2006)", "previouslyFormattedCitation" : "(Nursi, 2006)"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(Nursi, 2006, p. 247)</w:t>
      </w:r>
      <w:r w:rsidR="00A02014" w:rsidRPr="00AE337C">
        <w:rPr>
          <w:rFonts w:cstheme="minorHAnsi"/>
          <w:lang w:val="en-US"/>
        </w:rPr>
        <w:fldChar w:fldCharType="end"/>
      </w:r>
      <w:r w:rsidRPr="00AE337C">
        <w:rPr>
          <w:rFonts w:cstheme="minorHAnsi"/>
          <w:lang w:val="en-US"/>
        </w:rPr>
        <w:t>.</w:t>
      </w:r>
    </w:p>
    <w:p w:rsidR="00D308E2" w:rsidRPr="00AE337C" w:rsidRDefault="00D308E2" w:rsidP="00AE337C">
      <w:pPr>
        <w:widowControl w:val="0"/>
        <w:autoSpaceDE w:val="0"/>
        <w:autoSpaceDN w:val="0"/>
        <w:adjustRightInd w:val="0"/>
        <w:spacing w:after="120" w:line="240" w:lineRule="auto"/>
        <w:ind w:firstLine="567"/>
        <w:jc w:val="both"/>
        <w:rPr>
          <w:rFonts w:cstheme="minorHAnsi"/>
          <w:lang w:val="en-US"/>
        </w:rPr>
      </w:pPr>
      <w:proofErr w:type="spellStart"/>
      <w:r w:rsidRPr="00AE337C">
        <w:rPr>
          <w:rFonts w:eastAsia="Times New Roman" w:cstheme="minorHAnsi"/>
          <w:color w:val="000000"/>
          <w:lang w:val="en-US"/>
        </w:rPr>
        <w:t>Nursi</w:t>
      </w:r>
      <w:proofErr w:type="spellEnd"/>
      <w:r w:rsidRPr="00AE337C">
        <w:rPr>
          <w:rFonts w:eastAsia="Times New Roman" w:cstheme="minorHAnsi"/>
          <w:color w:val="000000"/>
          <w:lang w:val="en-US"/>
        </w:rPr>
        <w:t xml:space="preserve"> asserts the fitting responses of hope for the sickness of distress as follows: “increased,” “progressed,” “the most indisputable,” “established,” “prevail,” “benefits,” “cleansed” and “secured.” </w:t>
      </w:r>
      <w:r w:rsidRPr="00AE337C">
        <w:rPr>
          <w:rFonts w:cstheme="minorHAnsi"/>
          <w:color w:val="000000"/>
          <w:lang w:val="en-US"/>
        </w:rPr>
        <w:t xml:space="preserve">The </w:t>
      </w:r>
      <w:r w:rsidRPr="00AE337C">
        <w:rPr>
          <w:rFonts w:eastAsia="Times New Roman" w:cstheme="minorHAnsi"/>
          <w:color w:val="000000"/>
          <w:lang w:val="en-US"/>
        </w:rPr>
        <w:t xml:space="preserve">verbs </w:t>
      </w:r>
      <w:r w:rsidRPr="00AE337C">
        <w:rPr>
          <w:rFonts w:eastAsia="Times New Roman" w:cstheme="minorHAnsi"/>
          <w:color w:val="000000"/>
          <w:lang w:val="en-US" w:eastAsia="en-GB"/>
        </w:rPr>
        <w:t xml:space="preserve">in the sentence </w:t>
      </w:r>
      <w:r w:rsidRPr="00AE337C">
        <w:rPr>
          <w:rFonts w:cstheme="minorHAnsi"/>
          <w:color w:val="000000"/>
          <w:lang w:val="en-US"/>
        </w:rPr>
        <w:t xml:space="preserve">“…the Muslims </w:t>
      </w:r>
      <w:r w:rsidRPr="00AE337C">
        <w:rPr>
          <w:rFonts w:cstheme="minorHAnsi"/>
          <w:i/>
          <w:color w:val="000000"/>
          <w:lang w:val="en-US"/>
        </w:rPr>
        <w:t>increased</w:t>
      </w:r>
      <w:r w:rsidRPr="00AE337C">
        <w:rPr>
          <w:rFonts w:cstheme="minorHAnsi"/>
          <w:color w:val="000000"/>
          <w:lang w:val="en-US"/>
        </w:rPr>
        <w:t xml:space="preserve"> in civilization and </w:t>
      </w:r>
      <w:r w:rsidRPr="00AE337C">
        <w:rPr>
          <w:rFonts w:cstheme="minorHAnsi"/>
          <w:i/>
          <w:color w:val="000000"/>
          <w:lang w:val="en-US"/>
        </w:rPr>
        <w:t>progressed</w:t>
      </w:r>
      <w:r w:rsidRPr="00AE337C">
        <w:rPr>
          <w:rFonts w:cstheme="minorHAnsi"/>
          <w:color w:val="000000"/>
          <w:lang w:val="en-US"/>
        </w:rPr>
        <w:t xml:space="preserve"> in relation to the power of the truths of Islam…” (p. 28) imply that the </w:t>
      </w:r>
      <w:r w:rsidRPr="00AE337C">
        <w:rPr>
          <w:rFonts w:eastAsia="Times New Roman" w:cstheme="minorHAnsi"/>
          <w:color w:val="000000"/>
          <w:lang w:val="en-US" w:eastAsia="en-GB"/>
        </w:rPr>
        <w:t xml:space="preserve">Muslims have implemented the truths of Islam and they have developed the quality in their strength. </w:t>
      </w:r>
      <w:r w:rsidRPr="00AE337C">
        <w:rPr>
          <w:rFonts w:eastAsia="Calibri" w:cstheme="minorHAnsi"/>
          <w:lang w:val="en-US"/>
        </w:rPr>
        <w:t>The adjective in the sentence “</w:t>
      </w:r>
      <w:r w:rsidRPr="00AE337C">
        <w:rPr>
          <w:rFonts w:cstheme="minorHAnsi"/>
          <w:color w:val="000000"/>
          <w:lang w:val="en-US"/>
        </w:rPr>
        <w:t xml:space="preserve">It is well-known that </w:t>
      </w:r>
      <w:r w:rsidRPr="00AE337C">
        <w:rPr>
          <w:rFonts w:cstheme="minorHAnsi"/>
          <w:i/>
          <w:color w:val="000000"/>
          <w:lang w:val="en-US"/>
        </w:rPr>
        <w:t>the most indisputable</w:t>
      </w:r>
      <w:r w:rsidRPr="00AE337C">
        <w:rPr>
          <w:rFonts w:cstheme="minorHAnsi"/>
          <w:color w:val="000000"/>
          <w:lang w:val="en-US"/>
        </w:rPr>
        <w:t xml:space="preserve"> virtue is that which even its enemies testify to and affirm” (p. 34) signifies the quality of </w:t>
      </w:r>
      <w:proofErr w:type="spellStart"/>
      <w:r w:rsidRPr="00AE337C">
        <w:rPr>
          <w:rFonts w:cstheme="minorHAnsi"/>
          <w:color w:val="000000"/>
          <w:lang w:val="en-US"/>
        </w:rPr>
        <w:t>the</w:t>
      </w:r>
      <w:r w:rsidRPr="00AE337C">
        <w:rPr>
          <w:rFonts w:eastAsia="Calibri" w:cstheme="minorHAnsi"/>
          <w:lang w:val="en-US"/>
        </w:rPr>
        <w:t>virtue</w:t>
      </w:r>
      <w:proofErr w:type="spellEnd"/>
      <w:r w:rsidRPr="00AE337C">
        <w:rPr>
          <w:rFonts w:eastAsia="Calibri" w:cstheme="minorHAnsi"/>
          <w:lang w:val="en-US"/>
        </w:rPr>
        <w:t xml:space="preserve"> of hope. The verb in the sentence “</w:t>
      </w:r>
      <w:r w:rsidRPr="00AE337C">
        <w:rPr>
          <w:rFonts w:cstheme="minorHAnsi"/>
          <w:color w:val="000000"/>
          <w:lang w:val="en-US"/>
        </w:rPr>
        <w:t xml:space="preserve">For </w:t>
      </w:r>
      <w:r w:rsidRPr="00AE337C">
        <w:rPr>
          <w:rFonts w:cstheme="minorHAnsi"/>
          <w:i/>
          <w:color w:val="000000"/>
          <w:lang w:val="en-US"/>
        </w:rPr>
        <w:t xml:space="preserve">established </w:t>
      </w:r>
      <w:r w:rsidRPr="00AE337C">
        <w:rPr>
          <w:rFonts w:cstheme="minorHAnsi"/>
          <w:color w:val="000000"/>
          <w:lang w:val="en-US"/>
        </w:rPr>
        <w:t>in the heart of the Islamic world’s collective personality are five extremely powerful, unbreakable ‘strengths,’ which have blended and coalesced” (p. 36) indicates the positive results of the strengths which are based on hope in God.</w:t>
      </w:r>
      <w:r w:rsidRPr="00AE337C">
        <w:rPr>
          <w:rFonts w:eastAsia="Calibri" w:cstheme="minorHAnsi"/>
          <w:lang w:val="en-US"/>
        </w:rPr>
        <w:t xml:space="preserve"> The verb and the adjective in the sentence “</w:t>
      </w:r>
      <w:r w:rsidRPr="00AE337C">
        <w:rPr>
          <w:rFonts w:cstheme="minorHAnsi"/>
          <w:color w:val="000000"/>
          <w:lang w:val="en-US"/>
        </w:rPr>
        <w:t xml:space="preserve">God willing, through the strength of Islam in the future, the virtues of </w:t>
      </w:r>
      <w:proofErr w:type="spellStart"/>
      <w:r w:rsidRPr="00AE337C">
        <w:rPr>
          <w:rFonts w:cstheme="minorHAnsi"/>
          <w:color w:val="000000"/>
          <w:lang w:val="en-US"/>
        </w:rPr>
        <w:t>civilisation</w:t>
      </w:r>
      <w:proofErr w:type="spellEnd"/>
      <w:r w:rsidRPr="00AE337C">
        <w:rPr>
          <w:rFonts w:cstheme="minorHAnsi"/>
          <w:color w:val="000000"/>
          <w:lang w:val="en-US"/>
        </w:rPr>
        <w:t xml:space="preserve"> will prevail, the face of the earth </w:t>
      </w:r>
      <w:r w:rsidRPr="00AE337C">
        <w:rPr>
          <w:rFonts w:cstheme="minorHAnsi"/>
          <w:i/>
          <w:color w:val="000000"/>
          <w:lang w:val="en-US"/>
        </w:rPr>
        <w:t xml:space="preserve">cleansed </w:t>
      </w:r>
      <w:r w:rsidRPr="00AE337C">
        <w:rPr>
          <w:rFonts w:cstheme="minorHAnsi"/>
          <w:color w:val="000000"/>
          <w:lang w:val="en-US"/>
        </w:rPr>
        <w:t xml:space="preserve">of filth, and universal peace be </w:t>
      </w:r>
      <w:r w:rsidRPr="00AE337C">
        <w:rPr>
          <w:rFonts w:cstheme="minorHAnsi"/>
          <w:i/>
          <w:color w:val="000000"/>
          <w:lang w:val="en-US"/>
        </w:rPr>
        <w:t>secured</w:t>
      </w:r>
      <w:r w:rsidRPr="00AE337C">
        <w:rPr>
          <w:rFonts w:cstheme="minorHAnsi"/>
          <w:color w:val="000000"/>
          <w:lang w:val="en-US"/>
        </w:rPr>
        <w:t>”</w:t>
      </w:r>
      <w:r w:rsidRPr="00AE337C">
        <w:rPr>
          <w:rFonts w:eastAsia="Calibri" w:cstheme="minorHAnsi"/>
          <w:lang w:val="en-US"/>
        </w:rPr>
        <w:t xml:space="preserve"> and the verb in the sentence “</w:t>
      </w:r>
      <w:r w:rsidRPr="00AE337C">
        <w:rPr>
          <w:rFonts w:cstheme="minorHAnsi"/>
          <w:color w:val="000000"/>
          <w:lang w:val="en-US"/>
        </w:rPr>
        <w:t xml:space="preserve">You should understand that what I mean are the good things that are </w:t>
      </w:r>
      <w:proofErr w:type="spellStart"/>
      <w:r w:rsidRPr="00AE337C">
        <w:rPr>
          <w:rFonts w:cstheme="minorHAnsi"/>
          <w:color w:val="000000"/>
          <w:lang w:val="en-US"/>
        </w:rPr>
        <w:t>civilisation’s</w:t>
      </w:r>
      <w:proofErr w:type="spellEnd"/>
      <w:r w:rsidRPr="00AE337C">
        <w:rPr>
          <w:rFonts w:cstheme="minorHAnsi"/>
          <w:color w:val="000000"/>
          <w:lang w:val="en-US"/>
        </w:rPr>
        <w:t xml:space="preserve"> virtues and its </w:t>
      </w:r>
      <w:r w:rsidRPr="00AE337C">
        <w:rPr>
          <w:rFonts w:cstheme="minorHAnsi"/>
          <w:i/>
          <w:color w:val="000000"/>
          <w:lang w:val="en-US"/>
        </w:rPr>
        <w:t>benefits</w:t>
      </w:r>
      <w:r w:rsidRPr="00AE337C">
        <w:rPr>
          <w:rFonts w:cstheme="minorHAnsi"/>
          <w:color w:val="000000"/>
          <w:lang w:val="en-US"/>
        </w:rPr>
        <w:t xml:space="preserve"> for mankind” (p. 38) signify the positive results of nurturing hope.</w:t>
      </w:r>
      <w:r w:rsidRPr="00AE337C">
        <w:rPr>
          <w:rFonts w:eastAsia="Calibri" w:cstheme="minorHAnsi"/>
          <w:lang w:val="en-US"/>
        </w:rPr>
        <w:t xml:space="preserve"> The verb in the sentence </w:t>
      </w:r>
      <w:r w:rsidRPr="00AE337C">
        <w:rPr>
          <w:rFonts w:eastAsia="Times New Roman" w:cstheme="minorHAnsi"/>
          <w:color w:val="000000"/>
          <w:lang w:val="en-US"/>
        </w:rPr>
        <w:t>“</w:t>
      </w:r>
      <w:r w:rsidRPr="00AE337C">
        <w:rPr>
          <w:rFonts w:eastAsia="Times New Roman" w:cstheme="minorHAnsi"/>
          <w:color w:val="000000"/>
          <w:lang w:val="en-US" w:eastAsia="en-GB"/>
        </w:rPr>
        <w:t xml:space="preserve">In a short period of time it will </w:t>
      </w:r>
      <w:r w:rsidRPr="00AE337C">
        <w:rPr>
          <w:rFonts w:eastAsia="Times New Roman" w:cstheme="minorHAnsi"/>
          <w:i/>
          <w:color w:val="000000"/>
          <w:lang w:val="en-US" w:eastAsia="en-GB"/>
        </w:rPr>
        <w:t>prevail</w:t>
      </w:r>
      <w:r w:rsidRPr="00AE337C">
        <w:rPr>
          <w:rFonts w:eastAsia="Times New Roman" w:cstheme="minorHAnsi"/>
          <w:color w:val="000000"/>
          <w:lang w:val="en-US" w:eastAsia="en-GB"/>
        </w:rPr>
        <w:t>” (p. 38) denotes</w:t>
      </w:r>
      <w:r w:rsidRPr="00AE337C">
        <w:rPr>
          <w:rFonts w:eastAsia="Calibri" w:cstheme="minorHAnsi"/>
          <w:lang w:val="en-US"/>
        </w:rPr>
        <w:t xml:space="preserve"> the positive results of the hope.</w:t>
      </w:r>
    </w:p>
    <w:p w:rsidR="00D308E2" w:rsidRPr="00AE337C" w:rsidRDefault="00D308E2" w:rsidP="00AE337C">
      <w:pPr>
        <w:widowControl w:val="0"/>
        <w:autoSpaceDE w:val="0"/>
        <w:autoSpaceDN w:val="0"/>
        <w:adjustRightInd w:val="0"/>
        <w:spacing w:after="120" w:line="240" w:lineRule="auto"/>
        <w:ind w:firstLine="567"/>
        <w:jc w:val="both"/>
        <w:rPr>
          <w:rFonts w:cstheme="minorHAnsi"/>
          <w:lang w:val="en-US"/>
        </w:rPr>
      </w:pPr>
      <w:r w:rsidRPr="00AE337C">
        <w:rPr>
          <w:rFonts w:cstheme="minorHAnsi"/>
          <w:lang w:val="en-US"/>
        </w:rPr>
        <w:t xml:space="preserve">Although the solution of hope enables his audience to access “the road to future happiness” (p. 38) and discard distress with material and moral progress, the weakening in spiritual matters still exist as an ancillary exigence. </w:t>
      </w:r>
      <w:proofErr w:type="spellStart"/>
      <w:r w:rsidRPr="00AE337C">
        <w:rPr>
          <w:rFonts w:cstheme="minorHAnsi"/>
          <w:lang w:val="en-US"/>
        </w:rPr>
        <w:t>Nursi</w:t>
      </w:r>
      <w:proofErr w:type="spellEnd"/>
      <w:r w:rsidRPr="00AE337C">
        <w:rPr>
          <w:rFonts w:cstheme="minorHAnsi"/>
          <w:lang w:val="en-US"/>
        </w:rPr>
        <w:t xml:space="preserve"> senses that the situation of </w:t>
      </w:r>
      <w:r w:rsidRPr="00AE337C">
        <w:rPr>
          <w:rFonts w:cstheme="minorHAnsi"/>
          <w:lang w:val="en-US"/>
        </w:rPr>
        <w:lastRenderedPageBreak/>
        <w:t>spiritual weakening leads to the sickness of despair and hopelessness and invites a response. Then,</w:t>
      </w:r>
      <w:r w:rsidR="00B65B25" w:rsidRPr="00AE337C">
        <w:rPr>
          <w:rFonts w:cstheme="minorHAnsi"/>
          <w:lang w:val="en-US"/>
        </w:rPr>
        <w:t xml:space="preserve"> </w:t>
      </w:r>
      <w:r w:rsidRPr="00AE337C">
        <w:rPr>
          <w:rFonts w:cstheme="minorHAnsi"/>
          <w:lang w:val="en-US"/>
        </w:rPr>
        <w:t xml:space="preserve">he provides the response as he asserts “You may expect from Divine mercy to see true civilization within universal peace brought about through the sun of the truth of </w:t>
      </w:r>
      <w:r w:rsidR="00F931E7" w:rsidRPr="00AE337C">
        <w:rPr>
          <w:rFonts w:cstheme="minorHAnsi"/>
          <w:lang w:val="en-US"/>
        </w:rPr>
        <w:t>Islam” (</w:t>
      </w:r>
      <w:r w:rsidRPr="00AE337C">
        <w:rPr>
          <w:rFonts w:cstheme="minorHAnsi"/>
          <w:lang w:val="en-US"/>
        </w:rPr>
        <w:t xml:space="preserve">p. 39). </w:t>
      </w:r>
      <w:proofErr w:type="spellStart"/>
      <w:r w:rsidRPr="00AE337C">
        <w:rPr>
          <w:rFonts w:cstheme="minorHAnsi"/>
          <w:lang w:val="en-US"/>
        </w:rPr>
        <w:t>Nursi</w:t>
      </w:r>
      <w:proofErr w:type="spellEnd"/>
      <w:r w:rsidRPr="00AE337C">
        <w:rPr>
          <w:rFonts w:cstheme="minorHAnsi"/>
          <w:lang w:val="en-US"/>
        </w:rPr>
        <w:t xml:space="preserve"> refers to the phrase “Divine mercy” as the “strong hope of God’s mercy” (p. 27) and the phrase “the sun of the truth of Islam” as the means of salvation. (p.43). Thus, he provides the first ‘Word,’ hope for despair and hopelessness.</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lang w:val="en-US"/>
        </w:rPr>
      </w:pPr>
      <w:proofErr w:type="spellStart"/>
      <w:r w:rsidRPr="00AE337C">
        <w:rPr>
          <w:rFonts w:eastAsia="Times New Roman" w:cstheme="minorHAnsi"/>
          <w:color w:val="000000"/>
          <w:lang w:val="en-US"/>
        </w:rPr>
        <w:t>Nursi</w:t>
      </w:r>
      <w:proofErr w:type="spellEnd"/>
      <w:r w:rsidRPr="00AE337C">
        <w:rPr>
          <w:rFonts w:eastAsia="Times New Roman" w:cstheme="minorHAnsi"/>
          <w:color w:val="000000"/>
          <w:lang w:val="en-US"/>
        </w:rPr>
        <w:t xml:space="preserve"> also asserts t</w:t>
      </w:r>
      <w:r w:rsidRPr="00AE337C">
        <w:rPr>
          <w:rFonts w:cstheme="minorHAnsi"/>
          <w:color w:val="000000"/>
          <w:lang w:val="en-US"/>
        </w:rPr>
        <w:t xml:space="preserve">he fitting responses of hope for the sickness of despair and hopelessness as </w:t>
      </w:r>
      <w:r w:rsidRPr="00AE337C">
        <w:rPr>
          <w:rFonts w:eastAsia="Times New Roman" w:cstheme="minorHAnsi"/>
          <w:color w:val="000000"/>
          <w:lang w:val="en-US"/>
        </w:rPr>
        <w:t xml:space="preserve">“delivering,” “cleansing” and “securing.” The </w:t>
      </w:r>
      <w:r w:rsidRPr="00AE337C">
        <w:rPr>
          <w:rFonts w:eastAsia="Times New Roman" w:cstheme="minorHAnsi"/>
          <w:color w:val="000000"/>
          <w:lang w:val="en-US" w:eastAsia="en-GB"/>
        </w:rPr>
        <w:t xml:space="preserve">verbs in </w:t>
      </w:r>
      <w:r w:rsidRPr="00AE337C">
        <w:rPr>
          <w:rFonts w:eastAsia="Times New Roman" w:cstheme="minorHAnsi"/>
          <w:color w:val="000000"/>
          <w:lang w:val="en-US"/>
        </w:rPr>
        <w:t>the sentence “</w:t>
      </w:r>
      <w:r w:rsidRPr="00AE337C">
        <w:rPr>
          <w:rFonts w:cstheme="minorHAnsi"/>
          <w:color w:val="000000"/>
          <w:lang w:val="en-US"/>
        </w:rPr>
        <w:t xml:space="preserve">the truths of Islam will be the means of </w:t>
      </w:r>
      <w:r w:rsidRPr="00AE337C">
        <w:rPr>
          <w:rFonts w:cstheme="minorHAnsi"/>
          <w:i/>
          <w:color w:val="000000"/>
          <w:lang w:val="en-US"/>
        </w:rPr>
        <w:t>delivering</w:t>
      </w:r>
      <w:r w:rsidRPr="00AE337C">
        <w:rPr>
          <w:rFonts w:cstheme="minorHAnsi"/>
          <w:color w:val="000000"/>
          <w:lang w:val="en-US"/>
        </w:rPr>
        <w:t xml:space="preserve"> man from the low and debased degree to which he has fallen, of </w:t>
      </w:r>
      <w:r w:rsidRPr="00AE337C">
        <w:rPr>
          <w:rFonts w:cstheme="minorHAnsi"/>
          <w:i/>
          <w:color w:val="000000"/>
          <w:lang w:val="en-US"/>
        </w:rPr>
        <w:t>cleansing</w:t>
      </w:r>
      <w:r w:rsidRPr="00AE337C">
        <w:rPr>
          <w:rFonts w:cstheme="minorHAnsi"/>
          <w:color w:val="000000"/>
          <w:lang w:val="en-US"/>
        </w:rPr>
        <w:t xml:space="preserve"> the face of the earth, and </w:t>
      </w:r>
      <w:r w:rsidRPr="00AE337C">
        <w:rPr>
          <w:rFonts w:cstheme="minorHAnsi"/>
          <w:i/>
          <w:color w:val="000000"/>
          <w:lang w:val="en-US"/>
        </w:rPr>
        <w:t>securing</w:t>
      </w:r>
      <w:r w:rsidRPr="00AE337C">
        <w:rPr>
          <w:rFonts w:cstheme="minorHAnsi"/>
          <w:color w:val="000000"/>
          <w:lang w:val="en-US"/>
        </w:rPr>
        <w:t xml:space="preserve"> universal peace” (p. 43) also</w:t>
      </w:r>
      <w:r w:rsidRPr="00AE337C">
        <w:rPr>
          <w:rFonts w:eastAsia="Times New Roman" w:cstheme="minorHAnsi"/>
          <w:color w:val="000000"/>
          <w:lang w:val="en-US" w:eastAsia="en-GB"/>
        </w:rPr>
        <w:t xml:space="preserve"> reveal the positive outcome as the audience are free and protected from the external negative </w:t>
      </w:r>
      <w:proofErr w:type="spellStart"/>
      <w:r w:rsidRPr="00AE337C">
        <w:rPr>
          <w:rFonts w:eastAsia="Times New Roman" w:cstheme="minorHAnsi"/>
          <w:color w:val="000000"/>
          <w:lang w:val="en-US" w:eastAsia="en-GB"/>
        </w:rPr>
        <w:t>influences.</w:t>
      </w:r>
      <w:r w:rsidRPr="00AE337C">
        <w:rPr>
          <w:rFonts w:eastAsia="Calibri" w:cstheme="minorHAnsi"/>
          <w:lang w:val="en-US"/>
        </w:rPr>
        <w:t>Nursi</w:t>
      </w:r>
      <w:proofErr w:type="spellEnd"/>
      <w:r w:rsidRPr="00AE337C">
        <w:rPr>
          <w:rFonts w:eastAsia="Calibri" w:cstheme="minorHAnsi"/>
          <w:lang w:val="en-US"/>
        </w:rPr>
        <w:t xml:space="preserve"> appeals to his audience to make ‘positive action’ through the virtue of hope in God’s mercy to overcome distress, despair and hopelessness. Eventually there is positive modification as t</w:t>
      </w:r>
      <w:r w:rsidRPr="00AE337C">
        <w:rPr>
          <w:rFonts w:eastAsia="Calibri" w:cstheme="minorHAnsi"/>
          <w:color w:val="000000"/>
          <w:lang w:val="en-US"/>
        </w:rPr>
        <w:t xml:space="preserve">he positive actions are implemented. </w:t>
      </w:r>
      <w:r w:rsidRPr="00AE337C">
        <w:rPr>
          <w:rFonts w:eastAsia="Times New Roman" w:cstheme="minorHAnsi"/>
          <w:snapToGrid w:val="0"/>
          <w:lang w:val="en-US"/>
        </w:rPr>
        <w:t xml:space="preserve">Hope was defined by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"Snyder", "given" : "C.R.", "non-dropping-particle" : "", "parse-names" : false, "suffix" : "" }, { "dropping-particle" : "", "family" : "Harris", "given" : "C.", "non-dropping-particle" : "", "parse-names" : false, "suffix" : "" }, { "dropping-particle" : "", "family" : "Anderson", "given" : "J.R.", "non-dropping-particle" : "", "parse-names" : false, "suffix" : "" }, { "dropping-particle" : "", "family" : "Holleran", "given" : "S.A.", "non-dropping-particle" : "", "parse-names" : false, "suffix" : "" }, { "dropping-particle" : "", "family" : "Irving", "given" : "L.M.", "non-dropping-particle" : "", "parse-names" : false, "suffix" : "" }, { "dropping-particle" : "", "family" : "Sigmon", "given" : "S.T.", "non-dropping-particle" : "", "parse-names" : false, "suffix" : "" } ], "container-title" : ". Journal of Personality and Social Psychology", "id" : "ITEM-1", "issue" : "4", "issued" : { "date-parts" : [ [ "1991" ] ] }, "page" : "570-585", "title" : "The Will and the Ways: Development and Validation of an Individual-Differences Measure of Hope", "type" : "article-journal", "volume" : "60" }, "uris" : [ "http://www.mendeley.com/documents/?uuid=a13c722c-5385-4090-9428-ee15adc7b0e4" ] } ], "mendeley" : { "formattedCitation" : "(Snyder et al., 1991)", "manualFormatting" : "Snyder et al. (1991)", "plainTextFormattedCitation" : "(Snyder et al., 1991)", "previouslyFormattedCitation" : "(Snyder et al., 1991)"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Pr="00AE337C">
        <w:rPr>
          <w:rFonts w:eastAsia="Times New Roman" w:cstheme="minorHAnsi"/>
          <w:noProof/>
          <w:snapToGrid w:val="0"/>
          <w:lang w:val="en-US"/>
        </w:rPr>
        <w:t>Snyder et al. (1991)</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 xml:space="preserve"> as “a positive motivational state that is based on an interactively derived sense of successful agency (goal-directed energy) and pathways (planning to meet goals)”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"Snyder", "given" : "C.R.", "non-dropping-particle" : "", "parse-names" : false, "suffix" : "" } ], "container-title" : "Handbook of Hope Theory, Measures and Applications", "editor" : [ { "dropping-particle" : "", "family" : "Snyder", "given" : "C.R.", "non-dropping-particle" : "", "parse-names" : false, "suffix" : "" } ], "id" : "ITEM-1", "issued" : { "date-parts" : [ [ "2000" ] ] }, "page" : "3-21", "publisher" : "Academic Press.", "publisher-place" : "San Diego", "title" : "There is Hope", "type" : "chapter" }, "uris" : [ "http://www.mendeley.com/documents/?uuid=bffcb202-f994-46b8-b4c7-fdaa2fdf18fa" ] } ], "mendeley" : { "formattedCitation" : "(Snyder, 2000)", "manualFormatting" : "(Snyder, 2000, p. 8)", "plainTextFormattedCitation" : "(Snyder, 2000)", "previouslyFormattedCitation" : "(Snyder, 2000)"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Pr="00AE337C">
        <w:rPr>
          <w:rFonts w:eastAsia="Times New Roman" w:cstheme="minorHAnsi"/>
          <w:noProof/>
          <w:snapToGrid w:val="0"/>
          <w:lang w:val="en-US"/>
        </w:rPr>
        <w:t>(Snyder, 2000, p. 8)</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 xml:space="preserve">. Hope relates to the features of positive elements which drives a person to be goal oriented. </w:t>
      </w:r>
      <w:r w:rsidRPr="00AE337C">
        <w:rPr>
          <w:rFonts w:eastAsia="Calibri" w:cstheme="minorHAnsi"/>
          <w:lang w:val="en-US"/>
        </w:rPr>
        <w:t xml:space="preserve">The ability to achieve future goals </w:t>
      </w:r>
      <w:proofErr w:type="spellStart"/>
      <w:r w:rsidRPr="00AE337C">
        <w:rPr>
          <w:rFonts w:eastAsia="Calibri" w:cstheme="minorHAnsi"/>
          <w:lang w:val="en-US"/>
        </w:rPr>
        <w:t>ina</w:t>
      </w:r>
      <w:proofErr w:type="spellEnd"/>
      <w:r w:rsidRPr="00AE337C">
        <w:rPr>
          <w:rFonts w:eastAsia="Calibri" w:cstheme="minorHAnsi"/>
          <w:lang w:val="en-US"/>
        </w:rPr>
        <w:t xml:space="preserve"> positive frame of mind that focuses on specific outcome is having hope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"Lopez", "given" : "Shane J.", "non-dropping-particle" : "", "parse-names" : false, "suffix" : "" } ], "id" : "ITEM-1", "issued" : { "date-parts" : [ [ "2011" ] ] }, "number-of-pages" : "1160", "publisher" : "Wiley-Blackwell Publishing", "publisher-place" : "New Jersey, USA", "title" : "The Encyclopedia of Positive Psychology", "type" : "book" }, "uris" : [ "http://www.mendeley.com/documents/?uuid=2dca40f7-7695-4be0-a4fc-27af238bfe48" ] } ], "mendeley" : { "formattedCitation" : "(Lopez, 2011)", "plainTextFormattedCitation" : "(Lopez, 2011)", "previouslyFormattedCitation" : "(Lopez, 2011)"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(Lopez, 2011)</w:t>
      </w:r>
      <w:r w:rsidR="00A02014" w:rsidRPr="00AE337C">
        <w:rPr>
          <w:rFonts w:eastAsia="Calibri" w:cstheme="minorHAnsi"/>
          <w:lang w:val="en-US"/>
        </w:rPr>
        <w:fldChar w:fldCharType="end"/>
      </w:r>
      <w:r w:rsidRPr="00AE337C">
        <w:rPr>
          <w:rFonts w:eastAsia="Calibri" w:cstheme="minorHAnsi"/>
          <w:lang w:val="en-US"/>
        </w:rPr>
        <w:t>.</w:t>
      </w:r>
      <w:r w:rsidR="00FF65D0" w:rsidRPr="00AE337C">
        <w:rPr>
          <w:rFonts w:eastAsia="Calibri" w:cstheme="minorHAnsi"/>
          <w:lang w:val="en-US"/>
        </w:rPr>
        <w:t xml:space="preserve"> </w:t>
      </w:r>
      <w:r w:rsidRPr="00AE337C">
        <w:rPr>
          <w:rFonts w:eastAsia="Calibri" w:cstheme="minorHAnsi"/>
          <w:lang w:val="en-US"/>
        </w:rPr>
        <w:t xml:space="preserve">Positive emotions that are based on goal attainment are associated with hope as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"Snyder", "given" : "C.R.", "non-dropping-particle" : "", "parse-names" : false, "suffix" : "" }, { "dropping-particle" : "", "family" : "Sympson", "given" : "S.C.", "non-dropping-particle" : "", "parse-names" : false, "suffix" : "" }, { "dropping-particle" : "", "family" : "Ybasco", "given" : "F.C.", "non-dropping-particle" : "", "parse-names" : false, "suffix" : "" }, { "dropping-particle" : "", "family" : "Borders", "given" : "T.F.", "non-dropping-particle" : "", "parse-names" : false, "suffix" : "" }, { "dropping-particle" : "", "family" : "Babyak", "given" : "M.A.", "non-dropping-particle" : "", "parse-names" : false, "suffix" : "" }, { "dropping-particle" : "", "family" : "Higgins", "given" : "R.L.", "non-dropping-particle" : "", "parse-names" : false, "suffix" : "" } ], "container-title" : "Journal of Personality and Social Psychology", "id" : "ITEM-1", "issue" : "2", "issued" : { "date-parts" : [ [ "1996" ] ] }, "page" : "321-335", "title" : "Development and Validation of the State Hope Scale", "type" : "article-journal", "volume" : "70" }, "uris" : [ "http://www.mendeley.com/documents/?uuid=c3eecf97-b1eb-4a3c-ae13-8db04693a772" ] } ], "mendeley" : { "formattedCitation" : "(Snyder et al., 1996)", "manualFormatting" : "Snyder et al. (1996)", "plainTextFormattedCitation" : "(Snyder et al., 1996)", "previouslyFormattedCitation" : "(Snyder et al., 1996)"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Snyder et al. (1996)</w:t>
      </w:r>
      <w:r w:rsidR="00A02014" w:rsidRPr="00AE337C">
        <w:rPr>
          <w:rFonts w:eastAsia="Calibri" w:cstheme="minorHAnsi"/>
          <w:lang w:val="en-US"/>
        </w:rPr>
        <w:fldChar w:fldCharType="end"/>
      </w:r>
      <w:r w:rsidR="00FF65D0" w:rsidRPr="00AE337C">
        <w:rPr>
          <w:rFonts w:eastAsia="Calibri" w:cstheme="minorHAnsi"/>
          <w:lang w:val="en-US"/>
        </w:rPr>
        <w:t xml:space="preserve"> </w:t>
      </w:r>
      <w:r w:rsidRPr="00AE337C">
        <w:rPr>
          <w:rFonts w:eastAsia="Calibri" w:cstheme="minorHAnsi"/>
          <w:lang w:val="en-US"/>
        </w:rPr>
        <w:t xml:space="preserve">mention while negative emotions are related to goal blockages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"Diener", "given" : "E.", "non-dropping-particle" : "", "parse-names" : false, "suffix" : "" } ], "container-title" : "Psychological Bulletin", "id" : "ITEM-1", "issued" : { "date-parts" : [ [ "1984" ] ] }, "page" : "542-575", "title" : "Subjective well-being", "type" : "article-journal", "volume" : "95" }, "uris" : [ "http://www.mendeley.com/documents/?uuid=3ad04ce1-3fd7-4610-af1c-00e2f9bb48b6" ] } ], "mendeley" : { "formattedCitation" : "(Diener, 1984)", "plainTextFormattedCitation" : "(Diener, 1984)", "previouslyFormattedCitation" : "(Diener, 1984)"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(Diener, 1984)</w:t>
      </w:r>
      <w:r w:rsidR="00A02014" w:rsidRPr="00AE337C">
        <w:rPr>
          <w:rFonts w:eastAsia="Calibri" w:cstheme="minorHAnsi"/>
          <w:lang w:val="en-US"/>
        </w:rPr>
        <w:fldChar w:fldCharType="end"/>
      </w:r>
      <w:r w:rsidRPr="00AE337C">
        <w:rPr>
          <w:rFonts w:eastAsia="Calibri" w:cstheme="minorHAnsi"/>
          <w:lang w:val="en-US"/>
        </w:rPr>
        <w:t>.</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3</w:t>
      </w:r>
      <w:r w:rsidR="00D308E2" w:rsidRPr="00AE337C">
        <w:rPr>
          <w:rFonts w:cstheme="minorHAnsi"/>
          <w:b/>
          <w:lang w:val="en-US"/>
        </w:rPr>
        <w:t>.3. The second ‘Word,’ courage for the sickness of despair</w:t>
      </w:r>
    </w:p>
    <w:p w:rsidR="00D308E2" w:rsidRPr="00AE337C" w:rsidRDefault="00D308E2" w:rsidP="00AE337C">
      <w:pPr>
        <w:spacing w:after="120" w:line="240" w:lineRule="auto"/>
        <w:ind w:firstLine="567"/>
        <w:jc w:val="both"/>
        <w:rPr>
          <w:rFonts w:eastAsia="Times New Roman" w:cstheme="minorHAnsi"/>
          <w:snapToGrid w:val="0"/>
          <w:lang w:val="en-US"/>
        </w:rPr>
      </w:pPr>
      <w:proofErr w:type="spellStart"/>
      <w:r w:rsidRPr="00AE337C">
        <w:rPr>
          <w:rFonts w:cstheme="minorHAnsi"/>
          <w:lang w:val="en-US"/>
        </w:rPr>
        <w:t>Nursi</w:t>
      </w:r>
      <w:proofErr w:type="spellEnd"/>
      <w:r w:rsidRPr="00AE337C">
        <w:rPr>
          <w:rFonts w:cstheme="minorHAnsi"/>
          <w:lang w:val="en-US"/>
        </w:rPr>
        <w:t xml:space="preserve"> is still conscious of his audience’s </w:t>
      </w:r>
      <w:proofErr w:type="spellStart"/>
      <w:r w:rsidRPr="00AE337C">
        <w:rPr>
          <w:rFonts w:cstheme="minorHAnsi"/>
          <w:lang w:val="en-US"/>
        </w:rPr>
        <w:t>conditionand</w:t>
      </w:r>
      <w:proofErr w:type="spellEnd"/>
      <w:r w:rsidRPr="00AE337C">
        <w:rPr>
          <w:rFonts w:cstheme="minorHAnsi"/>
          <w:lang w:val="en-US"/>
        </w:rPr>
        <w:t xml:space="preserve"> observes that the situation of weakening in spiritual matters still exists. This weakness has caused the sickness of despair to reach the stage of “the most grievous” (p. 43) of all the “six dire sicknesses” as the audience </w:t>
      </w:r>
      <w:proofErr w:type="spellStart"/>
      <w:r w:rsidRPr="00AE337C">
        <w:rPr>
          <w:rFonts w:cstheme="minorHAnsi"/>
          <w:lang w:val="en-US"/>
        </w:rPr>
        <w:t>havenot</w:t>
      </w:r>
      <w:proofErr w:type="spellEnd"/>
      <w:r w:rsidRPr="00AE337C">
        <w:rPr>
          <w:rFonts w:cstheme="minorHAnsi"/>
          <w:lang w:val="en-US"/>
        </w:rPr>
        <w:t xml:space="preserve"> been practicing the ‘positive actions’ of nurturing strong hope in God and submitting to Him consistently. The sickness of despair destroys morality and it causes them to be confined to personal benefits while ignoring the social rights. </w:t>
      </w:r>
      <w:proofErr w:type="spellStart"/>
      <w:r w:rsidRPr="00AE337C">
        <w:rPr>
          <w:rFonts w:cstheme="minorHAnsi"/>
          <w:lang w:val="en-US"/>
        </w:rPr>
        <w:t>Nursi</w:t>
      </w:r>
      <w:proofErr w:type="spellEnd"/>
      <w:r w:rsidRPr="00AE337C">
        <w:rPr>
          <w:rFonts w:cstheme="minorHAnsi"/>
          <w:lang w:val="en-US"/>
        </w:rPr>
        <w:t xml:space="preserve"> asserts that </w:t>
      </w:r>
      <w:r w:rsidRPr="00AE337C">
        <w:rPr>
          <w:rFonts w:cstheme="minorHAnsi"/>
          <w:lang w:val="en-US"/>
        </w:rPr>
        <w:lastRenderedPageBreak/>
        <w:t xml:space="preserve">“millions” of Muslims are confined in their spiritual weakening which made them unable to resist the negative external forces. Then, he asserts the causes of despair which are having low spirits due to their unwillingness to make efforts, giving up courage and failing to implement their Islamic duties. Eventually, </w:t>
      </w:r>
      <w:proofErr w:type="spellStart"/>
      <w:r w:rsidRPr="00AE337C">
        <w:rPr>
          <w:rFonts w:cstheme="minorHAnsi"/>
          <w:lang w:val="en-US"/>
        </w:rPr>
        <w:t>Nursi</w:t>
      </w:r>
      <w:proofErr w:type="spellEnd"/>
      <w:r w:rsidRPr="00AE337C">
        <w:rPr>
          <w:rFonts w:cstheme="minorHAnsi"/>
          <w:lang w:val="en-US"/>
        </w:rPr>
        <w:t xml:space="preserve"> provides the implied second ‘Word’ courage (p. 44). He asserts the virtue of courage </w:t>
      </w:r>
      <w:r w:rsidR="00F931E7" w:rsidRPr="00AE337C">
        <w:rPr>
          <w:rFonts w:cstheme="minorHAnsi"/>
          <w:lang w:val="en-US"/>
        </w:rPr>
        <w:t>indirectly. As</w:t>
      </w:r>
      <w:r w:rsidRPr="00AE337C">
        <w:rPr>
          <w:rFonts w:cstheme="minorHAnsi"/>
          <w:lang w:val="en-US"/>
        </w:rPr>
        <w:t xml:space="preserve"> despair is the most serious sickness and it has prolonged, </w:t>
      </w:r>
      <w:proofErr w:type="spellStart"/>
      <w:r w:rsidRPr="00AE337C">
        <w:rPr>
          <w:rFonts w:cstheme="minorHAnsi"/>
          <w:lang w:val="en-US"/>
        </w:rPr>
        <w:t>Nursi</w:t>
      </w:r>
      <w:proofErr w:type="spellEnd"/>
      <w:r w:rsidRPr="00AE337C">
        <w:rPr>
          <w:rFonts w:cstheme="minorHAnsi"/>
          <w:lang w:val="en-US"/>
        </w:rPr>
        <w:t xml:space="preserve"> advises his audience to overcome </w:t>
      </w:r>
      <w:proofErr w:type="spellStart"/>
      <w:proofErr w:type="gramStart"/>
      <w:r w:rsidRPr="00AE337C">
        <w:rPr>
          <w:rFonts w:cstheme="minorHAnsi"/>
          <w:lang w:val="en-US"/>
        </w:rPr>
        <w:t>it.He</w:t>
      </w:r>
      <w:proofErr w:type="spellEnd"/>
      <w:proofErr w:type="gramEnd"/>
      <w:r w:rsidRPr="00AE337C">
        <w:rPr>
          <w:rFonts w:cstheme="minorHAnsi"/>
          <w:lang w:val="en-US"/>
        </w:rPr>
        <w:t xml:space="preserve"> calls them to implement ‘positive action’ by practicing </w:t>
      </w:r>
      <w:r w:rsidRPr="00AE337C">
        <w:rPr>
          <w:rFonts w:eastAsia="Times New Roman" w:cstheme="minorHAnsi"/>
          <w:snapToGrid w:val="0"/>
          <w:lang w:val="en-US"/>
        </w:rPr>
        <w:t>the virtue of courage based on belief and perform their Islamic duties.</w:t>
      </w:r>
      <w:r w:rsidR="00FF65D0" w:rsidRPr="00AE337C">
        <w:rPr>
          <w:rFonts w:eastAsia="Times New Roman" w:cstheme="minorHAnsi"/>
          <w:snapToGrid w:val="0"/>
          <w:lang w:val="en-US"/>
        </w:rPr>
        <w:t xml:space="preserve"> </w:t>
      </w:r>
      <w:r w:rsidRPr="00AE337C">
        <w:rPr>
          <w:rFonts w:eastAsia="Times New Roman" w:cstheme="minorHAnsi"/>
          <w:snapToGrid w:val="0"/>
          <w:lang w:val="en-US"/>
        </w:rPr>
        <w:t xml:space="preserve">The fitting response of </w:t>
      </w:r>
      <w:proofErr w:type="spellStart"/>
      <w:r w:rsidRPr="00AE337C">
        <w:rPr>
          <w:rFonts w:eastAsia="Times New Roman" w:cstheme="minorHAnsi"/>
          <w:snapToGrid w:val="0"/>
          <w:lang w:val="en-US"/>
        </w:rPr>
        <w:t>courageis</w:t>
      </w:r>
      <w:proofErr w:type="spellEnd"/>
      <w:r w:rsidRPr="00AE337C">
        <w:rPr>
          <w:rFonts w:eastAsia="Times New Roman" w:cstheme="minorHAnsi"/>
          <w:snapToGrid w:val="0"/>
          <w:lang w:val="en-US"/>
        </w:rPr>
        <w:t xml:space="preserve"> </w:t>
      </w:r>
      <w:r w:rsidRPr="00AE337C">
        <w:rPr>
          <w:rFonts w:cstheme="minorHAnsi"/>
          <w:color w:val="000000"/>
          <w:lang w:val="en-US"/>
        </w:rPr>
        <w:t xml:space="preserve">“unfurl” as </w:t>
      </w:r>
      <w:proofErr w:type="spellStart"/>
      <w:r w:rsidRPr="00AE337C">
        <w:rPr>
          <w:rFonts w:cstheme="minorHAnsi"/>
          <w:color w:val="000000"/>
          <w:lang w:val="en-US"/>
        </w:rPr>
        <w:t>itsignifies</w:t>
      </w:r>
      <w:proofErr w:type="spellEnd"/>
      <w:r w:rsidRPr="00AE337C">
        <w:rPr>
          <w:rFonts w:cstheme="minorHAnsi"/>
          <w:color w:val="000000"/>
          <w:lang w:val="en-US"/>
        </w:rPr>
        <w:t xml:space="preserve"> the positive outcome and eventually indicate a positive modification. </w:t>
      </w:r>
      <w:r w:rsidRPr="00AE337C">
        <w:rPr>
          <w:rFonts w:eastAsia="Calibri" w:cstheme="minorHAnsi"/>
          <w:color w:val="000000"/>
          <w:spacing w:val="1"/>
          <w:lang w:val="en-US" w:eastAsia="en-GB"/>
        </w:rPr>
        <w:t>The efforts to resolve despair are made with courageous belief and firmly believing in the hope of Divine Mercy which encompasses all things.</w:t>
      </w:r>
      <w:r w:rsidR="00FF65D0" w:rsidRPr="00AE337C">
        <w:rPr>
          <w:rFonts w:eastAsia="Calibri" w:cstheme="minorHAnsi"/>
          <w:color w:val="000000"/>
          <w:spacing w:val="1"/>
          <w:lang w:val="en-US" w:eastAsia="en-GB"/>
        </w:rPr>
        <w:t xml:space="preserve"> </w:t>
      </w:r>
      <w:r w:rsidRPr="00AE337C">
        <w:rPr>
          <w:rFonts w:cstheme="minorHAnsi"/>
          <w:color w:val="000000"/>
          <w:lang w:val="en-US"/>
        </w:rPr>
        <w:t xml:space="preserve">The verb in the sentence “…and will </w:t>
      </w:r>
      <w:r w:rsidRPr="00AE337C">
        <w:rPr>
          <w:rFonts w:cstheme="minorHAnsi"/>
          <w:i/>
          <w:color w:val="000000"/>
          <w:lang w:val="en-US"/>
        </w:rPr>
        <w:t xml:space="preserve">unfurl </w:t>
      </w:r>
      <w:r w:rsidRPr="00AE337C">
        <w:rPr>
          <w:rFonts w:cstheme="minorHAnsi"/>
          <w:color w:val="000000"/>
          <w:lang w:val="en-US"/>
        </w:rPr>
        <w:t xml:space="preserve">the banner of the Qur’an in every part of the world” (p. 45) signifies the results of the courageous action of </w:t>
      </w:r>
      <w:r w:rsidRPr="00AE337C">
        <w:rPr>
          <w:rFonts w:eastAsia="Calibri" w:cstheme="minorHAnsi"/>
          <w:color w:val="000000"/>
          <w:spacing w:val="1"/>
          <w:lang w:val="en-US" w:eastAsia="en-GB"/>
        </w:rPr>
        <w:t xml:space="preserve">disseminating God’s Words to every part of the world. </w:t>
      </w:r>
    </w:p>
    <w:p w:rsidR="00D308E2" w:rsidRPr="00AE337C" w:rsidRDefault="00D308E2" w:rsidP="00AE337C">
      <w:pPr>
        <w:spacing w:after="120" w:line="240" w:lineRule="auto"/>
        <w:ind w:firstLine="567"/>
        <w:jc w:val="both"/>
        <w:rPr>
          <w:rFonts w:eastAsia="Times New Roman" w:cstheme="minorHAnsi"/>
          <w:snapToGrid w:val="0"/>
          <w:lang w:val="en-US"/>
        </w:rPr>
      </w:pPr>
      <w:r w:rsidRPr="00AE337C">
        <w:rPr>
          <w:rFonts w:eastAsia="Times New Roman" w:cstheme="minorHAnsi"/>
          <w:snapToGrid w:val="0"/>
          <w:lang w:val="en-US"/>
        </w:rPr>
        <w:t xml:space="preserve">Thus, </w:t>
      </w:r>
      <w:proofErr w:type="spellStart"/>
      <w:r w:rsidRPr="00AE337C">
        <w:rPr>
          <w:rFonts w:eastAsia="Times New Roman" w:cstheme="minorHAnsi"/>
          <w:snapToGrid w:val="0"/>
          <w:lang w:val="en-US"/>
        </w:rPr>
        <w:t>Nursi</w:t>
      </w:r>
      <w:proofErr w:type="spellEnd"/>
      <w:r w:rsidRPr="00AE337C">
        <w:rPr>
          <w:rFonts w:eastAsia="Times New Roman" w:cstheme="minorHAnsi"/>
          <w:snapToGrid w:val="0"/>
          <w:lang w:val="en-US"/>
        </w:rPr>
        <w:t xml:space="preserve"> appeals his audience to make courageous efforts as a means of strengthening their spiritual life.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"Noe", "given" : "John R.", "non-dropping-particle" : "", "parse-names" : false, "suffix" : "" } ], "id" : "ITEM-1", "issued" : { "date-parts" : [ [ "2006" ] ] }, "number-of-pages" : "183", "publisher" : "Frederick Fell Publisher", "publisher-place" : "United States of America", "title" : "Peak Performance Principles for High Achievers", "type" : "book" }, "uris" : [ "http://www.mendeley.com/documents/?uuid=c4548dbb-90be-43e7-9e4b-fe6a15fe5fdb" ] } ], "mendeley" : { "formattedCitation" : "(Noe, 2006)", "manualFormatting" : "Noe (2006)", "plainTextFormattedCitation" : "(Noe, 2006)", "previouslyFormattedCitation" : "(Noe, 2006)"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Pr="00AE337C">
        <w:rPr>
          <w:rFonts w:eastAsia="Times New Roman" w:cstheme="minorHAnsi"/>
          <w:noProof/>
          <w:snapToGrid w:val="0"/>
          <w:lang w:val="en-US"/>
        </w:rPr>
        <w:t>Noe (2006)</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 xml:space="preserve"> asserts that the willingness to take positive action in the face of perceived danger is courage and one can overcome fear by implementing positive action.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"Aquinas", "given" : "T", "non-dropping-particle" : "", "parse-names" : false, "suffix" : "" } ], "id" : "ITEM-1", "issued" : { "date-parts" : [ [ "2002" ] ] }, "publisher" : "Hackett Publishing", "publisher-place" : "Indianapolis", "title" : "The treatise on human nature: Summa theologica (R.Pasnam, Trans.)", "type" : "book" }, "uris" : [ "http://www.mendeley.com/documents/?uuid=36235fe0-2b53-4396-ae48-02776e22c501" ] } ], "mendeley" : { "formattedCitation" : "(Aquinas, 2002)", "manualFormatting" : "Aquinas (2002)", "plainTextFormattedCitation" : "(Aquinas, 2002)", "previouslyFormattedCitation" : "(Aquinas, 2002)"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Pr="00AE337C">
        <w:rPr>
          <w:rFonts w:eastAsia="Times New Roman" w:cstheme="minorHAnsi"/>
          <w:noProof/>
          <w:snapToGrid w:val="0"/>
          <w:lang w:val="en-US"/>
        </w:rPr>
        <w:t>Aquinas (2002)</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 xml:space="preserve"> states that courage is a difficult virtue as it may lead to egotism or individualism. However, courage is a cherished virtue which is necessary for social order in human culture, therefore it should have a goal oriented target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"Cameron", "given" : "Kim S.", "non-dropping-particle" : "", "parse-names" : false, "suffix" : "" }, { "dropping-particle" : "", "family" : "Spreitzer", "given" : "Gretchen M.", "non-dropping-particle" : "", "parse-names" : false, "suffix" : "" } ], "id" : "ITEM-1", "issued" : { "date-parts" : [ [ "2013" ] ] }, "number-of-pages" : "1106", "publisher" : "Oxford University Press", "title" : "The Oxford Handbook of Positive Organizational Scholarship", "type" : "book" }, "uris" : [ "http://www.mendeley.com/documents/?uuid=b478f674-af25-4d2c-a9ec-8e93deb1b9ba" ] } ], "mendeley" : { "formattedCitation" : "(Cameron &amp; Spreitzer, 2013)", "manualFormatting" : "( Cameron &amp; Spreitzer, 2013)", "plainTextFormattedCitation" : "(Cameron &amp; Spreitzer, 2013)", "previouslyFormattedCitation" : "(Cameron &amp; Spreitzer, 2013)"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00FF65D0" w:rsidRPr="00AE337C">
        <w:rPr>
          <w:rFonts w:eastAsia="Times New Roman" w:cstheme="minorHAnsi"/>
          <w:noProof/>
          <w:snapToGrid w:val="0"/>
          <w:lang w:val="en-US"/>
        </w:rPr>
        <w:t>(</w:t>
      </w:r>
      <w:r w:rsidRPr="00AE337C">
        <w:rPr>
          <w:rFonts w:eastAsia="Times New Roman" w:cstheme="minorHAnsi"/>
          <w:noProof/>
          <w:snapToGrid w:val="0"/>
          <w:lang w:val="en-US"/>
        </w:rPr>
        <w:t>Cameron &amp; Spreitzer, 2013)</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 xml:space="preserve">. Therefore, </w:t>
      </w:r>
      <w:proofErr w:type="spellStart"/>
      <w:r w:rsidRPr="00AE337C">
        <w:rPr>
          <w:rFonts w:eastAsia="Times New Roman" w:cstheme="minorHAnsi"/>
          <w:snapToGrid w:val="0"/>
          <w:lang w:val="en-US"/>
        </w:rPr>
        <w:t>Nursi</w:t>
      </w:r>
      <w:proofErr w:type="spellEnd"/>
      <w:r w:rsidRPr="00AE337C">
        <w:rPr>
          <w:rFonts w:eastAsia="Times New Roman" w:cstheme="minorHAnsi"/>
          <w:snapToGrid w:val="0"/>
          <w:lang w:val="en-US"/>
        </w:rPr>
        <w:t xml:space="preserve"> appeals to his audience to abstain from despair and adhere to courageous belief that reflects the attribute of belief as despair displays the attribute of unbelief. Despair is in itself a form of unbelief, for it questions the power, the mercy and the goodness of God to overcome our weaknesses</w:t>
      </w:r>
      <w:r w:rsidR="00FF65D0" w:rsidRPr="00AE337C">
        <w:rPr>
          <w:rFonts w:eastAsia="Times New Roman" w:cstheme="minorHAnsi"/>
          <w:snapToGrid w:val="0"/>
          <w:lang w:val="en-US"/>
        </w:rPr>
        <w:t xml:space="preserve">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"Michel", "given" : "Thomas", "non-dropping-particle" : "", "parse-names" : false, "suffix" : "" } ], "id" : "ITEM-1", "issued" : { "date-parts" : [ [ "2005" ] ] }, "publisher" : "Soz Publication", "publisher-place" : "Istanbul, Turkey", "title" : "Said Nursi\u2019s Views On Muslim-Christian Understanding", "type" : "book" }, "uris" : [ "http://www.mendeley.com/documents/?uuid=b4bf53a1-e4ad-43eb-af23-cae2b6dbef08" ] } ], "mendeley" : { "formattedCitation" : "(Michel, 2005)", "plainTextFormattedCitation" : "(Michel, 2005)", "previouslyFormattedCitation" : "(Michel, 2005)"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Pr="00AE337C">
        <w:rPr>
          <w:rFonts w:eastAsia="Times New Roman" w:cstheme="minorHAnsi"/>
          <w:noProof/>
          <w:snapToGrid w:val="0"/>
          <w:lang w:val="en-US"/>
        </w:rPr>
        <w:t>(Michel, 2005)</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w:t>
      </w:r>
    </w:p>
    <w:p w:rsidR="00D308E2" w:rsidRPr="00AE337C" w:rsidRDefault="004F2E04" w:rsidP="00AE337C">
      <w:pPr>
        <w:spacing w:after="120" w:line="240" w:lineRule="auto"/>
        <w:ind w:firstLine="567"/>
        <w:jc w:val="both"/>
        <w:rPr>
          <w:rFonts w:cstheme="minorHAnsi"/>
          <w:b/>
          <w:lang w:val="en-US"/>
        </w:rPr>
      </w:pPr>
      <w:r w:rsidRPr="00AE337C">
        <w:rPr>
          <w:rFonts w:cstheme="minorHAnsi"/>
          <w:b/>
          <w:lang w:val="en-US"/>
        </w:rPr>
        <w:t>3</w:t>
      </w:r>
      <w:r w:rsidR="00D308E2" w:rsidRPr="00AE337C">
        <w:rPr>
          <w:rFonts w:cstheme="minorHAnsi"/>
          <w:b/>
          <w:lang w:val="en-US"/>
        </w:rPr>
        <w:t>.4. The third ‘Word’ truthfulness for the sickness of deceit</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lang w:val="en-US" w:eastAsia="en-GB"/>
        </w:rPr>
      </w:pPr>
      <w:proofErr w:type="spellStart"/>
      <w:r w:rsidRPr="00AE337C">
        <w:rPr>
          <w:rFonts w:cstheme="minorHAnsi"/>
          <w:color w:val="000000"/>
          <w:lang w:val="en-US"/>
        </w:rPr>
        <w:t>Nursi</w:t>
      </w:r>
      <w:proofErr w:type="spellEnd"/>
      <w:r w:rsidRPr="00AE337C">
        <w:rPr>
          <w:rFonts w:cstheme="minorHAnsi"/>
          <w:color w:val="000000"/>
          <w:lang w:val="en-US"/>
        </w:rPr>
        <w:t xml:space="preserve"> is aware of the challenges his audience is still facing due to the changes in the social life from the lesson he has learned in life. He observes the condition of </w:t>
      </w:r>
      <w:r w:rsidRPr="00AE337C">
        <w:rPr>
          <w:rFonts w:eastAsia="Times New Roman" w:cstheme="minorHAnsi"/>
          <w:color w:val="000000"/>
          <w:lang w:val="en-US" w:eastAsia="en-GB"/>
        </w:rPr>
        <w:t xml:space="preserve">“the ups and downs of social life” (p. 45) which indicates the good and difficult situations that affect the spiritual life. The changing conditions of good and bad times and the high and low spirits create uncertainties and unpredictable </w:t>
      </w:r>
      <w:r w:rsidRPr="00AE337C">
        <w:rPr>
          <w:rFonts w:eastAsia="Times New Roman" w:cstheme="minorHAnsi"/>
          <w:color w:val="000000"/>
          <w:lang w:val="en-US" w:eastAsia="en-GB"/>
        </w:rPr>
        <w:lastRenderedPageBreak/>
        <w:t xml:space="preserve">situations. It becomes an ancillary exigence and leads to a problem. However, </w:t>
      </w: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asserts the response before he states the problem, thus he indirectly provides the third ‘Word,’ truthfulness as the response to the problem. He illustrates the attributes of truthfulness as the ground that unites good characters and increase high emotions and also displays the attributes of the implied problem of deceit. He compares truthfulness as belief and falsehood as unbelief. He displays the distance as “the East is from the West” and it cannot be associated “like fire and light” (p. 45) to make his audience conscious of the significance of truthfulness and insignificance of deceit. </w:t>
      </w: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also illustrates the virtue of truthfulness as “the most valuable” and “the most sought-after” as it is an “established” principle. </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snapToGrid w:val="0"/>
          <w:lang w:val="en-US"/>
        </w:rPr>
      </w:pPr>
      <w:proofErr w:type="spellStart"/>
      <w:r w:rsidRPr="00AE337C">
        <w:rPr>
          <w:rFonts w:eastAsia="Times New Roman" w:cstheme="minorHAnsi"/>
          <w:snapToGrid w:val="0"/>
          <w:lang w:val="en-US"/>
        </w:rPr>
        <w:t>Nursi</w:t>
      </w:r>
      <w:proofErr w:type="spellEnd"/>
      <w:r w:rsidRPr="00AE337C">
        <w:rPr>
          <w:rFonts w:eastAsia="Times New Roman" w:cstheme="minorHAnsi"/>
          <w:snapToGrid w:val="0"/>
          <w:lang w:val="en-US"/>
        </w:rPr>
        <w:t xml:space="preserve"> calls his audience to implement two positive actions by appealing “</w:t>
      </w:r>
      <w:r w:rsidRPr="00AE337C">
        <w:rPr>
          <w:rFonts w:cstheme="minorHAnsi"/>
          <w:color w:val="000000"/>
          <w:lang w:val="en-US"/>
        </w:rPr>
        <w:t xml:space="preserve">we must bring to life truthfulness and </w:t>
      </w:r>
      <w:r w:rsidR="00F931E7" w:rsidRPr="00AE337C">
        <w:rPr>
          <w:rFonts w:cstheme="minorHAnsi"/>
          <w:color w:val="000000"/>
          <w:lang w:val="en-US"/>
        </w:rPr>
        <w:t>honesty and</w:t>
      </w:r>
      <w:r w:rsidRPr="00AE337C">
        <w:rPr>
          <w:rFonts w:cstheme="minorHAnsi"/>
          <w:color w:val="000000"/>
          <w:lang w:val="en-US"/>
        </w:rPr>
        <w:t xml:space="preserve"> cure our moral and spiritual sicknesses with them” (p. 45). </w:t>
      </w:r>
      <w:proofErr w:type="spellStart"/>
      <w:r w:rsidRPr="00AE337C">
        <w:rPr>
          <w:rFonts w:cstheme="minorHAnsi"/>
          <w:lang w:val="en-US"/>
        </w:rPr>
        <w:t>Hedescribes</w:t>
      </w:r>
      <w:proofErr w:type="spellEnd"/>
      <w:r w:rsidRPr="00AE337C">
        <w:rPr>
          <w:rFonts w:cstheme="minorHAnsi"/>
          <w:lang w:val="en-US"/>
        </w:rPr>
        <w:t xml:space="preserve"> truthfulness with phrases “cure,” “established,” “support most unfailing” and “strongest chain”. </w:t>
      </w:r>
      <w:r w:rsidRPr="00AE337C">
        <w:rPr>
          <w:rFonts w:cstheme="minorHAnsi"/>
          <w:color w:val="000000"/>
          <w:lang w:val="en-US"/>
        </w:rPr>
        <w:t xml:space="preserve">The </w:t>
      </w:r>
      <w:r w:rsidRPr="00AE337C">
        <w:rPr>
          <w:rFonts w:eastAsia="Times New Roman" w:cstheme="minorHAnsi"/>
          <w:snapToGrid w:val="0"/>
          <w:lang w:val="en-US"/>
        </w:rPr>
        <w:t xml:space="preserve">verb “cure” </w:t>
      </w:r>
      <w:r w:rsidRPr="00AE337C">
        <w:rPr>
          <w:rFonts w:cstheme="minorHAnsi"/>
          <w:color w:val="000000"/>
          <w:lang w:val="en-US"/>
        </w:rPr>
        <w:t xml:space="preserve">signifies recovering from moral and spiritual sicknesses </w:t>
      </w:r>
      <w:r w:rsidRPr="00AE337C">
        <w:rPr>
          <w:rFonts w:eastAsia="Times New Roman" w:cstheme="minorHAnsi"/>
          <w:snapToGrid w:val="0"/>
          <w:lang w:val="en-US"/>
        </w:rPr>
        <w:t xml:space="preserve">and “established” (p. 47) refers to the quality of the principle of truthfulness which is a virtue that is widely accepted and </w:t>
      </w:r>
      <w:proofErr w:type="spellStart"/>
      <w:r w:rsidRPr="00AE337C">
        <w:rPr>
          <w:rFonts w:eastAsia="Times New Roman" w:cstheme="minorHAnsi"/>
          <w:snapToGrid w:val="0"/>
          <w:lang w:val="en-US"/>
        </w:rPr>
        <w:t>recognised</w:t>
      </w:r>
      <w:proofErr w:type="spellEnd"/>
      <w:r w:rsidRPr="00AE337C">
        <w:rPr>
          <w:rFonts w:eastAsia="Times New Roman" w:cstheme="minorHAnsi"/>
          <w:snapToGrid w:val="0"/>
          <w:lang w:val="en-US"/>
        </w:rPr>
        <w:t xml:space="preserve">. The phrases “support most unfailing” and “strongest </w:t>
      </w:r>
      <w:r w:rsidR="00F931E7" w:rsidRPr="00AE337C">
        <w:rPr>
          <w:rFonts w:eastAsia="Times New Roman" w:cstheme="minorHAnsi"/>
          <w:snapToGrid w:val="0"/>
          <w:lang w:val="en-US"/>
        </w:rPr>
        <w:t>chain” signify</w:t>
      </w:r>
      <w:r w:rsidRPr="00AE337C">
        <w:rPr>
          <w:rFonts w:eastAsia="Times New Roman" w:cstheme="minorHAnsi"/>
          <w:snapToGrid w:val="0"/>
          <w:lang w:val="en-US"/>
        </w:rPr>
        <w:t xml:space="preserve"> the powerful attachment to salvation through the practice of the virtue of truthfulness (p. 48). It is a virtue that enables men to abstain from deceit through the strength of spiritual support. They also indicate the strong connectivity from the relationship between God and men. The words </w:t>
      </w:r>
      <w:r w:rsidRPr="00AE337C">
        <w:rPr>
          <w:rFonts w:cstheme="minorHAnsi"/>
          <w:lang w:val="en-US"/>
        </w:rPr>
        <w:t>“cure,” “established,” “support most unfailing” and “strongest chain”</w:t>
      </w:r>
      <w:r w:rsidRPr="00AE337C">
        <w:rPr>
          <w:rFonts w:eastAsia="Times New Roman" w:cstheme="minorHAnsi"/>
          <w:snapToGrid w:val="0"/>
          <w:lang w:val="en-US"/>
        </w:rPr>
        <w:t xml:space="preserve"> are the fitting responses that become positive modification as the results bring positive outcome. </w:t>
      </w:r>
      <w:proofErr w:type="spellStart"/>
      <w:r w:rsidRPr="00AE337C">
        <w:rPr>
          <w:rFonts w:eastAsia="Times New Roman" w:cstheme="minorHAnsi"/>
          <w:snapToGrid w:val="0"/>
          <w:lang w:val="en-US"/>
        </w:rPr>
        <w:t>Nursi</w:t>
      </w:r>
      <w:proofErr w:type="spellEnd"/>
      <w:r w:rsidRPr="00AE337C">
        <w:rPr>
          <w:rFonts w:eastAsia="Times New Roman" w:cstheme="minorHAnsi"/>
          <w:snapToGrid w:val="0"/>
          <w:lang w:val="en-US"/>
        </w:rPr>
        <w:t xml:space="preserve"> is addressing to his present audience </w:t>
      </w:r>
      <w:r w:rsidRPr="00AE337C">
        <w:rPr>
          <w:rFonts w:eastAsia="Times New Roman" w:cstheme="minorHAnsi"/>
          <w:color w:val="000000"/>
          <w:lang w:val="en-US" w:eastAsia="en-GB"/>
        </w:rPr>
        <w:t xml:space="preserve">in the Umayyad Mosque as his brothers again. He also addresses his future audience as brothers with great expectation when he expresses “four hundred million believers in the vast mosque of the world of Islam” (p. 48). He aims to be engaged with his audience and create a sense of belonging in their community when he addresses them as his brothers again. He senses their needs and desires in the situation they are facing in the social life and expect them to be mediators of change. Thus, he is not only targeting his present audience as mediators of change as he also puts his </w:t>
      </w:r>
      <w:r w:rsidRPr="00AE337C">
        <w:rPr>
          <w:rFonts w:eastAsia="Times New Roman" w:cstheme="minorHAnsi"/>
          <w:color w:val="000000"/>
          <w:lang w:val="en-US" w:eastAsia="en-GB"/>
        </w:rPr>
        <w:lastRenderedPageBreak/>
        <w:t>expectation on his envisioned audience whom he accepts as his future brothers.</w:t>
      </w:r>
    </w:p>
    <w:p w:rsidR="00D308E2" w:rsidRPr="00AE337C" w:rsidRDefault="004F2E04" w:rsidP="00AE337C">
      <w:pPr>
        <w:widowControl w:val="0"/>
        <w:autoSpaceDE w:val="0"/>
        <w:autoSpaceDN w:val="0"/>
        <w:adjustRightInd w:val="0"/>
        <w:spacing w:after="120" w:line="240" w:lineRule="auto"/>
        <w:ind w:firstLine="567"/>
        <w:jc w:val="both"/>
        <w:rPr>
          <w:rFonts w:cstheme="minorHAnsi"/>
          <w:b/>
          <w:color w:val="000000"/>
          <w:lang w:val="en-US"/>
        </w:rPr>
      </w:pPr>
      <w:r w:rsidRPr="00AE337C">
        <w:rPr>
          <w:rFonts w:cstheme="minorHAnsi"/>
          <w:b/>
          <w:color w:val="000000"/>
          <w:lang w:val="en-US"/>
        </w:rPr>
        <w:t>3</w:t>
      </w:r>
      <w:r w:rsidR="00D308E2" w:rsidRPr="00AE337C">
        <w:rPr>
          <w:rFonts w:cstheme="minorHAnsi"/>
          <w:b/>
          <w:color w:val="000000"/>
          <w:lang w:val="en-US"/>
        </w:rPr>
        <w:t>.5. The fourth ‘Word,’ love, for the sickness of enmity</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r w:rsidRPr="00AE337C">
        <w:rPr>
          <w:rFonts w:cstheme="minorHAnsi"/>
          <w:color w:val="000000"/>
          <w:lang w:val="en-US"/>
        </w:rPr>
        <w:t xml:space="preserve">After </w:t>
      </w:r>
      <w:proofErr w:type="spellStart"/>
      <w:r w:rsidRPr="00AE337C">
        <w:rPr>
          <w:rFonts w:cstheme="minorHAnsi"/>
          <w:color w:val="000000"/>
          <w:lang w:val="en-US"/>
        </w:rPr>
        <w:t>Nursi</w:t>
      </w:r>
      <w:proofErr w:type="spellEnd"/>
      <w:r w:rsidRPr="00AE337C">
        <w:rPr>
          <w:rFonts w:cstheme="minorHAnsi"/>
          <w:color w:val="000000"/>
          <w:lang w:val="en-US"/>
        </w:rPr>
        <w:t xml:space="preserve"> provides hope, courage and truthfulness, he senses again the urgency in the situation from his experience through social interactions. He conveys the implied causes of love and enmity from his “life-time of study” (p. 49) regarding the causes of the virtue of love as most worthy and the causes of enmity as </w:t>
      </w:r>
      <w:proofErr w:type="spellStart"/>
      <w:r w:rsidRPr="00AE337C">
        <w:rPr>
          <w:rFonts w:cstheme="minorHAnsi"/>
          <w:color w:val="000000"/>
          <w:lang w:val="en-US"/>
        </w:rPr>
        <w:t>unworthy.The</w:t>
      </w:r>
      <w:proofErr w:type="spellEnd"/>
      <w:r w:rsidRPr="00AE337C">
        <w:rPr>
          <w:rFonts w:cstheme="minorHAnsi"/>
          <w:color w:val="000000"/>
          <w:lang w:val="en-US"/>
        </w:rPr>
        <w:t xml:space="preserve"> causes of love are the good outcomes that can be gained from mutual compassion while the causes of enmity are the weak outcomes from mutual hatred. Therefore, he considers these causes as the lessons he has been learning throughout his life. Eventually, the situation of the causes of enmity becomes an ancillary exigence and invites the problem of enmity. Then, </w:t>
      </w:r>
      <w:proofErr w:type="spellStart"/>
      <w:r w:rsidRPr="00AE337C">
        <w:rPr>
          <w:rFonts w:cstheme="minorHAnsi"/>
          <w:color w:val="000000"/>
          <w:lang w:val="en-US"/>
        </w:rPr>
        <w:t>Nursi</w:t>
      </w:r>
      <w:proofErr w:type="spellEnd"/>
      <w:r w:rsidRPr="00AE337C">
        <w:rPr>
          <w:rFonts w:cstheme="minorHAnsi"/>
          <w:color w:val="000000"/>
          <w:lang w:val="en-US"/>
        </w:rPr>
        <w:t xml:space="preserve"> implicitly provides the response to this problem as love which is the fourth ‘Word.’</w:t>
      </w:r>
    </w:p>
    <w:p w:rsidR="00D308E2" w:rsidRPr="00AE337C" w:rsidRDefault="00D308E2" w:rsidP="00AE337C">
      <w:pPr>
        <w:widowControl w:val="0"/>
        <w:autoSpaceDE w:val="0"/>
        <w:autoSpaceDN w:val="0"/>
        <w:adjustRightInd w:val="0"/>
        <w:spacing w:after="120" w:line="240" w:lineRule="auto"/>
        <w:ind w:firstLine="567"/>
        <w:jc w:val="both"/>
        <w:rPr>
          <w:rFonts w:cstheme="minorHAnsi"/>
          <w:color w:val="000000"/>
          <w:lang w:val="en-US"/>
        </w:rPr>
      </w:pPr>
      <w:proofErr w:type="spellStart"/>
      <w:r w:rsidRPr="00AE337C">
        <w:rPr>
          <w:rFonts w:cstheme="minorHAnsi"/>
          <w:color w:val="000000"/>
          <w:lang w:val="en-US"/>
        </w:rPr>
        <w:t>Nursi</w:t>
      </w:r>
      <w:proofErr w:type="spellEnd"/>
      <w:r w:rsidRPr="00AE337C">
        <w:rPr>
          <w:rFonts w:cstheme="minorHAnsi"/>
          <w:color w:val="000000"/>
          <w:lang w:val="en-US"/>
        </w:rPr>
        <w:t xml:space="preserve"> elaborates the virtue of love through his expressions. He </w:t>
      </w:r>
      <w:r w:rsidR="00F931E7" w:rsidRPr="00AE337C">
        <w:rPr>
          <w:rFonts w:cstheme="minorHAnsi"/>
          <w:color w:val="000000"/>
          <w:lang w:val="en-US"/>
        </w:rPr>
        <w:t>expresses “</w:t>
      </w:r>
      <w:r w:rsidRPr="00AE337C">
        <w:rPr>
          <w:rFonts w:cstheme="minorHAnsi"/>
          <w:color w:val="000000"/>
          <w:lang w:val="en-US"/>
        </w:rPr>
        <w:t>the causes of love” which is “as great as a mountain” (p. 50) to signify the intensity of the power of spiritual love which increases in amount. He also claims that “the causes of love” is “as immense as a mountain” (p. 51)</w:t>
      </w:r>
      <w:r w:rsidR="00B65B25" w:rsidRPr="00AE337C">
        <w:rPr>
          <w:rFonts w:cstheme="minorHAnsi"/>
          <w:color w:val="000000"/>
          <w:lang w:val="en-US"/>
        </w:rPr>
        <w:t xml:space="preserve"> </w:t>
      </w:r>
      <w:r w:rsidRPr="00AE337C">
        <w:rPr>
          <w:rFonts w:cstheme="minorHAnsi"/>
          <w:color w:val="000000"/>
          <w:lang w:val="en-US"/>
        </w:rPr>
        <w:t>to indicate the power of love’s degree which is extremely large. The fitting responses of the spiritual love are “</w:t>
      </w:r>
      <w:r w:rsidRPr="00AE337C">
        <w:rPr>
          <w:rFonts w:cstheme="minorHAnsi"/>
          <w:lang w:val="en-US"/>
        </w:rPr>
        <w:t>strong luminous chain,” “immaterial fortresses” and “bond.”</w:t>
      </w:r>
      <w:r w:rsidRPr="00AE337C">
        <w:rPr>
          <w:rFonts w:eastAsia="Times New Roman" w:cstheme="minorHAnsi"/>
          <w:color w:val="000000"/>
          <w:lang w:val="en-US" w:eastAsia="en-GB"/>
        </w:rPr>
        <w:t xml:space="preserve"> He utters</w:t>
      </w:r>
      <w:r w:rsidRPr="00AE337C">
        <w:rPr>
          <w:rFonts w:cstheme="minorHAnsi"/>
          <w:color w:val="000000"/>
          <w:lang w:val="en-US"/>
        </w:rPr>
        <w:t xml:space="preserve">, “Indeed the causes of love, like belief, Islam, humanity and fellow-feeling, are strong and luminous chains and immaterial fortresses” (p. 50). These phrases signify the mutual support among believers through a protective stronghold as </w:t>
      </w:r>
      <w:proofErr w:type="spellStart"/>
      <w:r w:rsidRPr="00AE337C">
        <w:rPr>
          <w:rFonts w:cstheme="minorHAnsi"/>
          <w:color w:val="000000"/>
          <w:lang w:val="en-US"/>
        </w:rPr>
        <w:t>Nursi</w:t>
      </w:r>
      <w:proofErr w:type="spellEnd"/>
      <w:r w:rsidRPr="00AE337C">
        <w:rPr>
          <w:rFonts w:cstheme="minorHAnsi"/>
          <w:color w:val="000000"/>
          <w:lang w:val="en-US"/>
        </w:rPr>
        <w:t xml:space="preserve"> is referring “</w:t>
      </w:r>
      <w:r w:rsidRPr="00AE337C">
        <w:rPr>
          <w:rFonts w:eastAsia="Calibri" w:cstheme="minorHAnsi"/>
          <w:color w:val="000000"/>
          <w:spacing w:val="1"/>
          <w:lang w:val="en-US" w:eastAsia="en-GB"/>
        </w:rPr>
        <w:t>immaterial</w:t>
      </w:r>
      <w:r w:rsidRPr="00AE337C">
        <w:rPr>
          <w:rFonts w:eastAsia="Calibri" w:cstheme="minorHAnsi"/>
          <w:i/>
          <w:color w:val="000000"/>
          <w:spacing w:val="1"/>
          <w:lang w:val="en-US" w:eastAsia="en-GB"/>
        </w:rPr>
        <w:t>”</w:t>
      </w:r>
      <w:r w:rsidRPr="00AE337C">
        <w:rPr>
          <w:rFonts w:eastAsia="Calibri" w:cstheme="minorHAnsi"/>
          <w:color w:val="000000"/>
          <w:spacing w:val="1"/>
          <w:lang w:val="en-US" w:eastAsia="en-GB"/>
        </w:rPr>
        <w:t xml:space="preserve"> as the spiritual fortresses. </w:t>
      </w:r>
      <w:r w:rsidRPr="00AE337C">
        <w:rPr>
          <w:rFonts w:cstheme="minorHAnsi"/>
          <w:color w:val="000000"/>
          <w:lang w:val="en-US"/>
        </w:rPr>
        <w:t xml:space="preserve">Then, he utters, “In Short: Love, brotherhood, and affection are basic to Islam, and are its </w:t>
      </w:r>
      <w:r w:rsidRPr="00AE337C">
        <w:rPr>
          <w:rFonts w:cstheme="minorHAnsi"/>
          <w:i/>
          <w:color w:val="000000"/>
          <w:lang w:val="en-US"/>
        </w:rPr>
        <w:t>bond</w:t>
      </w:r>
      <w:r w:rsidRPr="00AE337C">
        <w:rPr>
          <w:rFonts w:cstheme="minorHAnsi"/>
          <w:color w:val="000000"/>
          <w:lang w:val="en-US"/>
        </w:rPr>
        <w:t>” (p. 51</w:t>
      </w:r>
      <w:r w:rsidR="00F931E7" w:rsidRPr="00AE337C">
        <w:rPr>
          <w:rFonts w:cstheme="minorHAnsi"/>
          <w:color w:val="000000"/>
          <w:lang w:val="en-US"/>
        </w:rPr>
        <w:t>).</w:t>
      </w:r>
      <w:r w:rsidR="00F931E7" w:rsidRPr="00AE337C">
        <w:rPr>
          <w:rFonts w:eastAsia="Calibri" w:cstheme="minorHAnsi"/>
          <w:color w:val="000000"/>
          <w:spacing w:val="1"/>
          <w:lang w:val="en-US" w:eastAsia="en-GB"/>
        </w:rPr>
        <w:t xml:space="preserve"> The</w:t>
      </w:r>
      <w:r w:rsidRPr="00AE337C">
        <w:rPr>
          <w:rFonts w:eastAsia="Calibri" w:cstheme="minorHAnsi"/>
          <w:color w:val="000000"/>
          <w:spacing w:val="1"/>
          <w:lang w:val="en-US" w:eastAsia="en-GB"/>
        </w:rPr>
        <w:t xml:space="preserve"> noun “bond</w:t>
      </w:r>
      <w:r w:rsidRPr="00AE337C">
        <w:rPr>
          <w:rFonts w:eastAsia="Calibri" w:cstheme="minorHAnsi"/>
          <w:b/>
          <w:color w:val="000000"/>
          <w:spacing w:val="1"/>
          <w:lang w:val="en-US" w:eastAsia="en-GB"/>
        </w:rPr>
        <w:t>”</w:t>
      </w:r>
      <w:r w:rsidRPr="00AE337C">
        <w:rPr>
          <w:rFonts w:eastAsia="Calibri" w:cstheme="minorHAnsi"/>
          <w:color w:val="000000"/>
          <w:spacing w:val="1"/>
          <w:lang w:val="en-US" w:eastAsia="en-GB"/>
        </w:rPr>
        <w:t xml:space="preserve"> </w:t>
      </w:r>
      <w:proofErr w:type="spellStart"/>
      <w:r w:rsidRPr="00AE337C">
        <w:rPr>
          <w:rFonts w:eastAsia="Calibri" w:cstheme="minorHAnsi"/>
          <w:color w:val="000000"/>
          <w:spacing w:val="1"/>
          <w:lang w:val="en-US" w:eastAsia="en-GB"/>
        </w:rPr>
        <w:t>indicatesthe</w:t>
      </w:r>
      <w:proofErr w:type="spellEnd"/>
      <w:r w:rsidRPr="00AE337C">
        <w:rPr>
          <w:rFonts w:eastAsia="Calibri" w:cstheme="minorHAnsi"/>
          <w:color w:val="000000"/>
          <w:spacing w:val="1"/>
          <w:lang w:val="en-US" w:eastAsia="en-GB"/>
        </w:rPr>
        <w:t xml:space="preserve"> ability of spiritual love to produce positive effects through strong connection among the believers in “love, brotherhood and affection.” </w:t>
      </w:r>
      <w:r w:rsidRPr="00AE337C">
        <w:rPr>
          <w:rFonts w:eastAsia="Times New Roman" w:cstheme="minorHAnsi"/>
          <w:color w:val="000000"/>
          <w:lang w:val="en-US" w:eastAsia="en-GB"/>
        </w:rPr>
        <w:t xml:space="preserve">Thus, the </w:t>
      </w:r>
      <w:proofErr w:type="spellStart"/>
      <w:r w:rsidRPr="00AE337C">
        <w:rPr>
          <w:rFonts w:eastAsia="Times New Roman" w:cstheme="minorHAnsi"/>
          <w:color w:val="000000"/>
          <w:lang w:val="en-US" w:eastAsia="en-GB"/>
        </w:rPr>
        <w:t>positiveresults</w:t>
      </w:r>
      <w:proofErr w:type="spellEnd"/>
      <w:r w:rsidRPr="00AE337C">
        <w:rPr>
          <w:rFonts w:eastAsia="Times New Roman" w:cstheme="minorHAnsi"/>
          <w:color w:val="000000"/>
          <w:lang w:val="en-US" w:eastAsia="en-GB"/>
        </w:rPr>
        <w:t xml:space="preserve"> of the capacity of love are revealed through “strong and luminous chains” and the strength of love as the “immaterial fortresses” that managed to create “bonds” of brotherhood and affection</w:t>
      </w:r>
      <w:r w:rsidRPr="00AE337C">
        <w:rPr>
          <w:rFonts w:cstheme="minorHAnsi"/>
          <w:color w:val="000000"/>
          <w:lang w:val="en-US"/>
        </w:rPr>
        <w:t xml:space="preserve">. Eventually, </w:t>
      </w:r>
      <w:proofErr w:type="spellStart"/>
      <w:r w:rsidRPr="00AE337C">
        <w:rPr>
          <w:rFonts w:cstheme="minorHAnsi"/>
          <w:color w:val="000000"/>
          <w:lang w:val="en-US"/>
        </w:rPr>
        <w:t>Nursi’sexpressions</w:t>
      </w:r>
      <w:proofErr w:type="spellEnd"/>
      <w:r w:rsidRPr="00AE337C">
        <w:rPr>
          <w:rFonts w:cstheme="minorHAnsi"/>
          <w:color w:val="000000"/>
          <w:lang w:val="en-US"/>
        </w:rPr>
        <w:t xml:space="preserve"> of </w:t>
      </w:r>
      <w:r w:rsidRPr="00AE337C">
        <w:rPr>
          <w:rFonts w:eastAsia="Calibri" w:cstheme="minorHAnsi"/>
          <w:lang w:val="en-US"/>
        </w:rPr>
        <w:t>“strong and luminous chains,” “immaterial fortresses” and “bond” becomes the fitting responses that lead to a positive modification.</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snapToGrid w:val="0"/>
          <w:lang w:val="en-US"/>
        </w:rPr>
      </w:pPr>
      <w:proofErr w:type="spellStart"/>
      <w:r w:rsidRPr="00AE337C">
        <w:rPr>
          <w:rFonts w:cstheme="minorHAnsi"/>
          <w:color w:val="000000"/>
          <w:lang w:val="en-US"/>
        </w:rPr>
        <w:lastRenderedPageBreak/>
        <w:t>Nursi</w:t>
      </w:r>
      <w:proofErr w:type="spellEnd"/>
      <w:r w:rsidRPr="00AE337C">
        <w:rPr>
          <w:rFonts w:cstheme="minorHAnsi"/>
          <w:color w:val="000000"/>
          <w:lang w:val="en-US"/>
        </w:rPr>
        <w:t xml:space="preserve"> refers </w:t>
      </w:r>
      <w:r w:rsidRPr="00AE337C">
        <w:rPr>
          <w:rFonts w:eastAsia="Times New Roman" w:cstheme="minorHAnsi"/>
          <w:snapToGrid w:val="0"/>
          <w:lang w:val="en-US"/>
        </w:rPr>
        <w:t xml:space="preserve">to </w:t>
      </w:r>
      <w:r w:rsidR="00F931E7" w:rsidRPr="00AE337C">
        <w:rPr>
          <w:rFonts w:eastAsia="Times New Roman" w:cstheme="minorHAnsi"/>
          <w:snapToGrid w:val="0"/>
          <w:lang w:val="en-US"/>
        </w:rPr>
        <w:t>the “</w:t>
      </w:r>
      <w:r w:rsidRPr="00AE337C">
        <w:rPr>
          <w:rFonts w:eastAsia="Times New Roman" w:cstheme="minorHAnsi"/>
          <w:snapToGrid w:val="0"/>
          <w:lang w:val="en-US"/>
        </w:rPr>
        <w:t xml:space="preserve">Twenty-Second Letter of the </w:t>
      </w:r>
      <w:proofErr w:type="spellStart"/>
      <w:r w:rsidRPr="00AE337C">
        <w:rPr>
          <w:rFonts w:eastAsia="Times New Roman" w:cstheme="minorHAnsi"/>
          <w:snapToGrid w:val="0"/>
          <w:lang w:val="en-US"/>
        </w:rPr>
        <w:t>Risale-iNur</w:t>
      </w:r>
      <w:proofErr w:type="spellEnd"/>
      <w:r w:rsidRPr="00AE337C">
        <w:rPr>
          <w:rFonts w:eastAsia="Times New Roman" w:cstheme="minorHAnsi"/>
          <w:snapToGrid w:val="0"/>
          <w:lang w:val="en-US"/>
        </w:rPr>
        <w:t>”</w:t>
      </w:r>
      <w:r w:rsidR="00B65B25" w:rsidRPr="00AE337C">
        <w:rPr>
          <w:rFonts w:eastAsia="Times New Roman" w:cstheme="minorHAnsi"/>
          <w:snapToGrid w:val="0"/>
          <w:lang w:val="en-US"/>
        </w:rPr>
        <w:t xml:space="preserve"> </w:t>
      </w:r>
      <w:r w:rsidRPr="00AE337C">
        <w:rPr>
          <w:rFonts w:eastAsia="Times New Roman" w:cstheme="minorHAnsi"/>
          <w:snapToGrid w:val="0"/>
          <w:lang w:val="en-US"/>
        </w:rPr>
        <w:t xml:space="preserve">(p. 50) to appeal his audience to “Love for the sake of God.” He senses that spiritual love has the essential attributes that can provide energy. Then, he asserts the ‘positive actions’ as  practicing the attributes of love which are justice, gentle, concord, unity; responding with forgiveness, pardon, magnanimity and abstaining from enmity, hostility, revenge, egotism, fame-seeking </w:t>
      </w:r>
      <w:r w:rsidR="00A02014" w:rsidRPr="00AE337C">
        <w:rPr>
          <w:rFonts w:eastAsia="Times New Roman" w:cstheme="minorHAnsi"/>
          <w:snapToGrid w:val="0"/>
          <w:lang w:val="en-US"/>
        </w:rPr>
        <w:fldChar w:fldCharType="begin" w:fldLock="1"/>
      </w:r>
      <w:r w:rsidRPr="00AE337C">
        <w:rPr>
          <w:rFonts w:eastAsia="Times New Roman" w:cstheme="minorHAnsi"/>
          <w:snapToGrid w:val="0"/>
          <w:lang w:val="en-US"/>
        </w:rPr>
        <w:instrText>ADDIN CSL_CITATION { "citationItems" : [ { "id" : "ITEM-1", "itemData" : { "author" : [ { "dropping-particle" : "", "family" : "Nursi", "given" : "Bediuzzaman Said", "non-dropping-particle" : "", "parse-names" : false, "suffix" : "" } ], "id" : "ITEM-1", "issued" : { "date-parts" : [ [ "2010" ] ] }, "number-of-pages" : "573", "publisher" : "Sozler Nesriyat Tic.ve San.A.S", "publisher-place" : "Istanbul, Turkey", "title" : "The Letters (Turkish Mektubat, Sukran Vahide, Trans)", "type" : "book" }, "uris" : [ "http://www.mendeley.com/documents/?uuid=305163b8-60c7-43a3-9449-f039363fcc4a" ] } ], "mendeley" : { "formattedCitation" : "(Nursi, 2010)", "plainTextFormattedCitation" : "(Nursi, 2010)", "previouslyFormattedCitation" : "(Nursi, 2010)" }, "properties" : { "noteIndex" : 0 }, "schema" : "https://github.com/citation-style-language/schema/raw/master/csl-citation.json" }</w:instrText>
      </w:r>
      <w:r w:rsidR="00A02014" w:rsidRPr="00AE337C">
        <w:rPr>
          <w:rFonts w:eastAsia="Times New Roman" w:cstheme="minorHAnsi"/>
          <w:snapToGrid w:val="0"/>
          <w:lang w:val="en-US"/>
        </w:rPr>
        <w:fldChar w:fldCharType="separate"/>
      </w:r>
      <w:r w:rsidRPr="00AE337C">
        <w:rPr>
          <w:rFonts w:eastAsia="Times New Roman" w:cstheme="minorHAnsi"/>
          <w:noProof/>
          <w:snapToGrid w:val="0"/>
          <w:lang w:val="en-US"/>
        </w:rPr>
        <w:t>(Nursi, 2010)</w:t>
      </w:r>
      <w:r w:rsidR="00A02014" w:rsidRPr="00AE337C">
        <w:rPr>
          <w:rFonts w:eastAsia="Times New Roman" w:cstheme="minorHAnsi"/>
          <w:snapToGrid w:val="0"/>
          <w:lang w:val="en-US"/>
        </w:rPr>
        <w:fldChar w:fldCharType="end"/>
      </w:r>
      <w:r w:rsidRPr="00AE337C">
        <w:rPr>
          <w:rFonts w:eastAsia="Times New Roman" w:cstheme="minorHAnsi"/>
          <w:snapToGrid w:val="0"/>
          <w:lang w:val="en-US"/>
        </w:rPr>
        <w:t>.</w:t>
      </w:r>
      <w:proofErr w:type="spellStart"/>
      <w:r w:rsidRPr="00AE337C">
        <w:rPr>
          <w:rFonts w:cstheme="minorHAnsi"/>
          <w:lang w:val="en-US"/>
        </w:rPr>
        <w:t>Nursi</w:t>
      </w:r>
      <w:proofErr w:type="spellEnd"/>
      <w:r w:rsidRPr="00AE337C">
        <w:rPr>
          <w:rFonts w:cstheme="minorHAnsi"/>
          <w:lang w:val="en-US"/>
        </w:rPr>
        <w:t xml:space="preserve"> asserts that “We are the guardians of love, we have no time for enmity”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"Nursi", "given" : "Bediuzzaman Said", "non-dropping-particle" : "", "parse-names" : false, "suffix" : "" } ], "id" : "ITEM-1", "issued" : { "date-parts" : [ [ "2013" ] ] }, "publisher" : "RNK Ne\u015friyat", "publisher-place" : "Istanbul, Turkey", "title" : "Tarih\u00e7e-i Hayat\u0131, 11", "type" : "book" }, "uris" : [ "http://www.mendeley.com/documents/?uuid=4a285f61-97dc-4d4e-8f18-25a2eeba2fb6" ] } ], "mendeley" : { "formattedCitation" : "(Nursi, 2013b)", "manualFormatting" : "(Nursi, 2013, p. 60)", "plainTextFormattedCitation" : "(Nursi, 2013b)", "previouslyFormattedCitation" : "(Nursi, 2013b)"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(Nursi, 2013, p. 60)</w:t>
      </w:r>
      <w:r w:rsidR="00A02014" w:rsidRPr="00AE337C">
        <w:rPr>
          <w:rFonts w:cstheme="minorHAnsi"/>
          <w:lang w:val="en-US"/>
        </w:rPr>
        <w:fldChar w:fldCharType="end"/>
      </w:r>
      <w:r w:rsidRPr="00AE337C">
        <w:rPr>
          <w:rFonts w:cstheme="minorHAnsi"/>
          <w:lang w:val="en-US"/>
        </w:rPr>
        <w:t xml:space="preserve">. He also claims that “Love, friendship, and affection are the bond that connects us as it is the characteristic of Islam”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"Nursi", "given" : "Bediuzzaman Said", "non-dropping-particle" : "", "parse-names" : false, "suffix" : "" } ], "id" : "ITEM-1", "issued" : { "date-parts" : [ [ "2011" ] ] }, "publisher" : "S\u00f6zler Ne\u015friyat", "publisher-place" : "Istanbul, Turkey", "title" : "Uhuvvet Risalesi", "type" : "book" }, "uris" : [ "http://www.mendeley.com/documents/?uuid=df04b998-086d-4607-a796-753fe5ede153" ] } ], "mendeley" : { "formattedCitation" : "(Nursi, 2011c)", "manualFormatting" : "(Nursi, 2011, p. 43)", "plainTextFormattedCitation" : "(Nursi, 2011c)", "previouslyFormattedCitation" : "(Nursi, 2011c)"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(Nursi, 2011, p. 43)</w:t>
      </w:r>
      <w:r w:rsidR="00A02014" w:rsidRPr="00AE337C">
        <w:rPr>
          <w:rFonts w:cstheme="minorHAnsi"/>
          <w:lang w:val="en-US"/>
        </w:rPr>
        <w:fldChar w:fldCharType="end"/>
      </w:r>
      <w:r w:rsidRPr="00AE337C">
        <w:rPr>
          <w:rFonts w:cstheme="minorHAnsi"/>
          <w:lang w:val="en-US"/>
        </w:rPr>
        <w:t>.</w:t>
      </w:r>
    </w:p>
    <w:p w:rsidR="00D308E2" w:rsidRPr="00AE337C" w:rsidRDefault="004F2E04" w:rsidP="00AE337C">
      <w:pPr>
        <w:widowControl w:val="0"/>
        <w:autoSpaceDE w:val="0"/>
        <w:autoSpaceDN w:val="0"/>
        <w:adjustRightInd w:val="0"/>
        <w:spacing w:after="120" w:line="240" w:lineRule="auto"/>
        <w:ind w:firstLine="567"/>
        <w:jc w:val="both"/>
        <w:rPr>
          <w:rFonts w:cstheme="minorHAnsi"/>
          <w:b/>
          <w:color w:val="000000"/>
          <w:lang w:val="en-US"/>
        </w:rPr>
      </w:pPr>
      <w:r w:rsidRPr="00AE337C">
        <w:rPr>
          <w:rFonts w:cstheme="minorHAnsi"/>
          <w:b/>
          <w:color w:val="000000"/>
          <w:lang w:val="en-US"/>
        </w:rPr>
        <w:t>3</w:t>
      </w:r>
      <w:r w:rsidR="00D308E2" w:rsidRPr="00AE337C">
        <w:rPr>
          <w:rFonts w:cstheme="minorHAnsi"/>
          <w:b/>
          <w:color w:val="000000"/>
          <w:lang w:val="en-US"/>
        </w:rPr>
        <w:t>.6. The fifth ‘Word,’ solidarity for the sickness of disunity</w:t>
      </w:r>
    </w:p>
    <w:p w:rsidR="00D308E2" w:rsidRPr="00AE337C" w:rsidRDefault="00D308E2" w:rsidP="00AE337C">
      <w:pPr>
        <w:autoSpaceDE w:val="0"/>
        <w:autoSpaceDN w:val="0"/>
        <w:adjustRightInd w:val="0"/>
        <w:spacing w:after="120" w:line="240" w:lineRule="auto"/>
        <w:ind w:firstLine="567"/>
        <w:jc w:val="both"/>
        <w:rPr>
          <w:rFonts w:eastAsia="Times New Roman" w:cstheme="minorHAnsi"/>
          <w:lang w:val="en-US" w:eastAsia="en-GB"/>
        </w:rPr>
      </w:pPr>
      <w:r w:rsidRPr="00AE337C">
        <w:rPr>
          <w:rFonts w:cstheme="minorHAnsi"/>
          <w:lang w:val="en-US"/>
        </w:rPr>
        <w:t xml:space="preserve">Although love is provided as the solution, </w:t>
      </w:r>
      <w:proofErr w:type="spellStart"/>
      <w:r w:rsidRPr="00AE337C">
        <w:rPr>
          <w:rFonts w:cstheme="minorHAnsi"/>
          <w:lang w:val="en-US"/>
        </w:rPr>
        <w:t>Nursi</w:t>
      </w:r>
      <w:proofErr w:type="spellEnd"/>
      <w:r w:rsidRPr="00AE337C">
        <w:rPr>
          <w:rFonts w:cstheme="minorHAnsi"/>
          <w:lang w:val="en-US"/>
        </w:rPr>
        <w:t xml:space="preserve"> is aware that there are some causes of enmity that still exist which cause another ancillary exigence. </w:t>
      </w:r>
      <w:proofErr w:type="spellStart"/>
      <w:r w:rsidRPr="00AE337C">
        <w:rPr>
          <w:rFonts w:cstheme="minorHAnsi"/>
          <w:lang w:val="en-US"/>
        </w:rPr>
        <w:t>Nursi</w:t>
      </w:r>
      <w:proofErr w:type="spellEnd"/>
      <w:r w:rsidRPr="00AE337C">
        <w:rPr>
          <w:rFonts w:cstheme="minorHAnsi"/>
          <w:lang w:val="en-US"/>
        </w:rPr>
        <w:t xml:space="preserve"> implies the </w:t>
      </w:r>
      <w:r w:rsidRPr="00AE337C">
        <w:rPr>
          <w:rFonts w:eastAsia="Times New Roman" w:cstheme="minorHAnsi"/>
          <w:color w:val="000000"/>
          <w:lang w:val="en-US" w:eastAsia="en-GB"/>
        </w:rPr>
        <w:t xml:space="preserve">causes of enmity that ignore the </w:t>
      </w:r>
      <w:r w:rsidRPr="00AE337C">
        <w:rPr>
          <w:rFonts w:eastAsia="Calibri" w:cstheme="minorHAnsi"/>
          <w:color w:val="000000"/>
          <w:lang w:val="en-US" w:eastAsia="en-GB"/>
        </w:rPr>
        <w:t>principles of equality</w:t>
      </w:r>
      <w:r w:rsidRPr="00AE337C">
        <w:rPr>
          <w:rFonts w:eastAsia="Times New Roman" w:cstheme="minorHAnsi"/>
          <w:color w:val="000000"/>
          <w:lang w:val="en-US" w:eastAsia="en-GB"/>
        </w:rPr>
        <w:t xml:space="preserve">. He also </w:t>
      </w:r>
      <w:r w:rsidR="00F931E7" w:rsidRPr="00AE337C">
        <w:rPr>
          <w:rFonts w:eastAsia="Times New Roman" w:cstheme="minorHAnsi"/>
          <w:color w:val="000000"/>
          <w:lang w:val="en-US" w:eastAsia="en-GB"/>
        </w:rPr>
        <w:t>says,</w:t>
      </w:r>
      <w:r w:rsidRPr="00AE337C">
        <w:rPr>
          <w:rFonts w:eastAsia="Times New Roman" w:cstheme="minorHAnsi"/>
          <w:color w:val="000000"/>
          <w:lang w:val="en-US" w:eastAsia="en-GB"/>
        </w:rPr>
        <w:t xml:space="preserve"> </w:t>
      </w:r>
      <w:r w:rsidRPr="00AE337C">
        <w:rPr>
          <w:rFonts w:eastAsia="Times New Roman" w:cstheme="minorHAnsi"/>
          <w:lang w:val="en-US" w:eastAsia="en-GB"/>
        </w:rPr>
        <w:t>“</w:t>
      </w:r>
      <w:r w:rsidRPr="00AE337C">
        <w:rPr>
          <w:rFonts w:cstheme="minorHAnsi"/>
          <w:highlight w:val="white"/>
          <w:lang w:val="en-US"/>
        </w:rPr>
        <w:t xml:space="preserve">They resemble too an unfair, pessimistic person who so long as it is possible to distrust, </w:t>
      </w:r>
      <w:proofErr w:type="spellStart"/>
      <w:r w:rsidRPr="00AE337C">
        <w:rPr>
          <w:rFonts w:cstheme="minorHAnsi"/>
          <w:bCs/>
          <w:highlight w:val="white"/>
          <w:lang w:val="en-US"/>
        </w:rPr>
        <w:t>neverthink</w:t>
      </w:r>
      <w:r w:rsidRPr="00AE337C">
        <w:rPr>
          <w:rFonts w:cstheme="minorHAnsi"/>
          <w:highlight w:val="white"/>
          <w:lang w:val="en-US"/>
        </w:rPr>
        <w:t>s</w:t>
      </w:r>
      <w:proofErr w:type="spellEnd"/>
      <w:r w:rsidRPr="00AE337C">
        <w:rPr>
          <w:rFonts w:cstheme="minorHAnsi"/>
          <w:highlight w:val="white"/>
          <w:lang w:val="en-US"/>
        </w:rPr>
        <w:t xml:space="preserve"> </w:t>
      </w:r>
      <w:proofErr w:type="spellStart"/>
      <w:r w:rsidRPr="00AE337C">
        <w:rPr>
          <w:rFonts w:cstheme="minorHAnsi"/>
          <w:bCs/>
          <w:highlight w:val="white"/>
          <w:lang w:val="en-US"/>
        </w:rPr>
        <w:t>favourably</w:t>
      </w:r>
      <w:proofErr w:type="spellEnd"/>
      <w:r w:rsidRPr="00AE337C">
        <w:rPr>
          <w:rFonts w:cstheme="minorHAnsi"/>
          <w:highlight w:val="white"/>
          <w:lang w:val="en-US"/>
        </w:rPr>
        <w:t>” (p. 51)</w:t>
      </w:r>
      <w:r w:rsidRPr="00AE337C">
        <w:rPr>
          <w:rFonts w:cstheme="minorHAnsi"/>
          <w:lang w:val="en-US"/>
        </w:rPr>
        <w:t xml:space="preserve">. </w:t>
      </w:r>
      <w:r w:rsidRPr="00AE337C">
        <w:rPr>
          <w:rFonts w:eastAsia="Calibri" w:cstheme="minorHAnsi"/>
          <w:color w:val="000000"/>
          <w:lang w:val="en-US" w:eastAsia="en-GB"/>
        </w:rPr>
        <w:t xml:space="preserve">Thus, this situation leads to the </w:t>
      </w:r>
      <w:r w:rsidRPr="00AE337C">
        <w:rPr>
          <w:rFonts w:eastAsia="Times New Roman" w:cstheme="minorHAnsi"/>
          <w:color w:val="000000"/>
          <w:lang w:val="en-US" w:eastAsia="en-GB"/>
        </w:rPr>
        <w:t>problem of disunity and invites a fitting response as a solution. The phrase</w:t>
      </w:r>
      <w:r w:rsidRPr="00AE337C">
        <w:rPr>
          <w:rFonts w:eastAsia="Calibri" w:cstheme="minorHAnsi"/>
          <w:color w:val="000000"/>
          <w:lang w:val="en-US" w:eastAsia="en-GB"/>
        </w:rPr>
        <w:t xml:space="preserve"> “never thinks </w:t>
      </w:r>
      <w:proofErr w:type="spellStart"/>
      <w:r w:rsidRPr="00AE337C">
        <w:rPr>
          <w:rFonts w:eastAsia="Calibri" w:cstheme="minorHAnsi"/>
          <w:color w:val="000000"/>
          <w:lang w:val="en-US" w:eastAsia="en-GB"/>
        </w:rPr>
        <w:t>favourably</w:t>
      </w:r>
      <w:proofErr w:type="spellEnd"/>
      <w:r w:rsidRPr="00AE337C">
        <w:rPr>
          <w:rFonts w:eastAsia="Calibri" w:cstheme="minorHAnsi"/>
          <w:color w:val="000000"/>
          <w:lang w:val="en-US" w:eastAsia="en-GB"/>
        </w:rPr>
        <w:t>” signifies the condition of not agreeing with each other due to not having good thoughts.</w:t>
      </w:r>
      <w:r w:rsidR="00DC2710" w:rsidRPr="00AE337C">
        <w:rPr>
          <w:rFonts w:eastAsia="Calibri" w:cstheme="minorHAnsi"/>
          <w:color w:val="000000"/>
          <w:lang w:val="en-US" w:eastAsia="en-GB"/>
        </w:rPr>
        <w:t xml:space="preserve"> </w:t>
      </w:r>
      <w:r w:rsidRPr="00AE337C">
        <w:rPr>
          <w:rFonts w:eastAsia="Times New Roman" w:cstheme="minorHAnsi"/>
          <w:color w:val="000000"/>
          <w:lang w:val="en-US" w:eastAsia="en-GB"/>
        </w:rPr>
        <w:t xml:space="preserve">Eventually it causes the situation of hostility. </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lang w:val="en-US" w:eastAsia="en-GB"/>
        </w:rPr>
      </w:pPr>
      <w:proofErr w:type="spellStart"/>
      <w:r w:rsidRPr="00AE337C">
        <w:rPr>
          <w:rFonts w:cstheme="minorHAnsi"/>
          <w:color w:val="000000"/>
          <w:lang w:val="en-US"/>
        </w:rPr>
        <w:t>Nursi</w:t>
      </w:r>
      <w:proofErr w:type="spellEnd"/>
      <w:r w:rsidRPr="00AE337C">
        <w:rPr>
          <w:rFonts w:cstheme="minorHAnsi"/>
          <w:color w:val="000000"/>
          <w:lang w:val="en-US"/>
        </w:rPr>
        <w:t xml:space="preserve"> asserts about the shared values and outcomes of “mutual consultation”</w:t>
      </w:r>
      <w:r w:rsidR="00DC2710" w:rsidRPr="00AE337C">
        <w:rPr>
          <w:rFonts w:cstheme="minorHAnsi"/>
          <w:color w:val="000000"/>
          <w:lang w:val="en-US"/>
        </w:rPr>
        <w:t xml:space="preserve"> </w:t>
      </w:r>
      <w:r w:rsidRPr="00AE337C">
        <w:rPr>
          <w:rFonts w:cstheme="minorHAnsi"/>
          <w:color w:val="000000"/>
          <w:lang w:val="en-US"/>
        </w:rPr>
        <w:t xml:space="preserve">(p. 51). If it is based on a single sin, the outcome becomes negative as it can “swell” where else if it is based on good deeds, it becomes a positive outcome as it “progresses to the order of thousands of good deeds.” </w:t>
      </w:r>
      <w:proofErr w:type="spellStart"/>
      <w:r w:rsidRPr="00AE337C">
        <w:rPr>
          <w:rFonts w:cstheme="minorHAnsi"/>
          <w:color w:val="000000"/>
          <w:lang w:val="en-US"/>
        </w:rPr>
        <w:t>Nursi</w:t>
      </w:r>
      <w:proofErr w:type="spellEnd"/>
      <w:r w:rsidRPr="00AE337C">
        <w:rPr>
          <w:rFonts w:cstheme="minorHAnsi"/>
          <w:color w:val="000000"/>
          <w:lang w:val="en-US"/>
        </w:rPr>
        <w:t xml:space="preserve"> is conveying that the united brotherhood spirit is based </w:t>
      </w:r>
      <w:proofErr w:type="spellStart"/>
      <w:r w:rsidRPr="00AE337C">
        <w:rPr>
          <w:rFonts w:cstheme="minorHAnsi"/>
          <w:color w:val="000000"/>
          <w:lang w:val="en-US"/>
        </w:rPr>
        <w:t>on</w:t>
      </w:r>
      <w:r w:rsidRPr="00AE337C">
        <w:rPr>
          <w:rFonts w:eastAsia="Times New Roman" w:cstheme="minorHAnsi"/>
          <w:color w:val="000000"/>
          <w:lang w:val="en-US" w:eastAsia="en-GB"/>
        </w:rPr>
        <w:t>the</w:t>
      </w:r>
      <w:proofErr w:type="spellEnd"/>
      <w:r w:rsidRPr="00AE337C">
        <w:rPr>
          <w:rFonts w:eastAsia="Times New Roman" w:cstheme="minorHAnsi"/>
          <w:color w:val="000000"/>
          <w:lang w:val="en-US" w:eastAsia="en-GB"/>
        </w:rPr>
        <w:t xml:space="preserve"> reasoning of freedom in accordance with the law and the consultations enjoined by the law. He asserts an evidence of working in unity among the brotherhood of the Arabs and Turk. They do not compete with </w:t>
      </w:r>
      <w:proofErr w:type="gramStart"/>
      <w:r w:rsidRPr="00AE337C">
        <w:rPr>
          <w:rFonts w:eastAsia="Times New Roman" w:cstheme="minorHAnsi"/>
          <w:color w:val="000000"/>
          <w:lang w:val="en-US" w:eastAsia="en-GB"/>
        </w:rPr>
        <w:t>each other</w:t>
      </w:r>
      <w:proofErr w:type="gramEnd"/>
      <w:r w:rsidRPr="00AE337C">
        <w:rPr>
          <w:rFonts w:eastAsia="Times New Roman" w:cstheme="minorHAnsi"/>
          <w:color w:val="000000"/>
          <w:lang w:val="en-US" w:eastAsia="en-GB"/>
        </w:rPr>
        <w:t xml:space="preserve"> but they help to complete their duties with spiritual strength as they are like “the shell and citadel</w:t>
      </w:r>
      <w:r w:rsidR="00F931E7" w:rsidRPr="00AE337C">
        <w:rPr>
          <w:rFonts w:eastAsia="Times New Roman" w:cstheme="minorHAnsi"/>
          <w:color w:val="000000"/>
          <w:lang w:val="en-US" w:eastAsia="en-GB"/>
        </w:rPr>
        <w:t>.” Then</w:t>
      </w:r>
      <w:r w:rsidRPr="00AE337C">
        <w:rPr>
          <w:rFonts w:eastAsia="Times New Roman" w:cstheme="minorHAnsi"/>
          <w:color w:val="000000"/>
          <w:lang w:val="en-US" w:eastAsia="en-GB"/>
        </w:rPr>
        <w:t xml:space="preserve">, </w:t>
      </w: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provides the implied fifth ‘Word,’ solidarity (p. 52). He conveys his implied message of the unity of feelings and actions among the Muslims as a unifying community. Their mutual support that creates the strong connection is able to produce positive effects.</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lang w:val="en-US" w:eastAsia="en-GB"/>
        </w:rPr>
      </w:pPr>
      <w:proofErr w:type="spellStart"/>
      <w:r w:rsidRPr="00AE337C">
        <w:rPr>
          <w:rFonts w:cstheme="minorHAnsi"/>
          <w:color w:val="000000"/>
          <w:lang w:val="en-US"/>
        </w:rPr>
        <w:lastRenderedPageBreak/>
        <w:t>Nursi</w:t>
      </w:r>
      <w:proofErr w:type="spellEnd"/>
      <w:r w:rsidRPr="00AE337C">
        <w:rPr>
          <w:rFonts w:cstheme="minorHAnsi"/>
          <w:color w:val="000000"/>
          <w:lang w:val="en-US"/>
        </w:rPr>
        <w:t xml:space="preserve"> utters “O my brothers who are listening to these words of mine here in the Umayyad Mosque! And O Muslim brothers in the mosque of the world of Islam forty to fifty years’ later! (p. 52). He calls to his audience again to consider the</w:t>
      </w:r>
      <w:r w:rsidRPr="00AE337C">
        <w:rPr>
          <w:rFonts w:eastAsia="Times New Roman" w:cstheme="minorHAnsi"/>
          <w:color w:val="000000"/>
          <w:lang w:val="en-US" w:eastAsia="en-GB"/>
        </w:rPr>
        <w:t xml:space="preserve"> benefits of unity in true Islamic brotherhood. Once again, he addresses his present audience in the Umayyad Mosque and the future audience as his brothers. </w:t>
      </w:r>
      <w:proofErr w:type="spellStart"/>
      <w:r w:rsidRPr="00AE337C">
        <w:rPr>
          <w:rFonts w:eastAsia="Times New Roman" w:cstheme="minorHAnsi"/>
          <w:color w:val="000000"/>
          <w:lang w:val="en-US" w:eastAsia="en-GB"/>
        </w:rPr>
        <w:t>Herefers</w:t>
      </w:r>
      <w:proofErr w:type="spellEnd"/>
      <w:r w:rsidRPr="00AE337C">
        <w:rPr>
          <w:rFonts w:eastAsia="Times New Roman" w:cstheme="minorHAnsi"/>
          <w:color w:val="000000"/>
          <w:lang w:val="en-US" w:eastAsia="en-GB"/>
        </w:rPr>
        <w:t xml:space="preserve"> to his future audience as his envisioned audience from the mosque in the different Islamic regions. He considers his audience as being very attentive as he observes them. </w:t>
      </w:r>
      <w:r w:rsidR="00F931E7" w:rsidRPr="00AE337C">
        <w:rPr>
          <w:rFonts w:eastAsia="Times New Roman" w:cstheme="minorHAnsi"/>
          <w:color w:val="000000"/>
          <w:lang w:val="en-US" w:eastAsia="en-GB"/>
        </w:rPr>
        <w:t>However,</w:t>
      </w:r>
      <w:r w:rsidRPr="00AE337C">
        <w:rPr>
          <w:rFonts w:eastAsia="Times New Roman" w:cstheme="minorHAnsi"/>
          <w:color w:val="000000"/>
          <w:lang w:val="en-US" w:eastAsia="en-GB"/>
        </w:rPr>
        <w:t xml:space="preserve"> he reminds them of the consequences of ignoring to display Islamic unity and brotherhood. As when there is no working spirit in a community, the problem of disunity arises and causes hostility. </w:t>
      </w:r>
    </w:p>
    <w:p w:rsidR="00D308E2" w:rsidRPr="00AE337C" w:rsidRDefault="00D308E2" w:rsidP="00AE337C">
      <w:pPr>
        <w:spacing w:after="120" w:line="240" w:lineRule="auto"/>
        <w:ind w:firstLine="567"/>
        <w:jc w:val="both"/>
        <w:rPr>
          <w:rFonts w:eastAsia="Times New Roman" w:cstheme="minorHAnsi"/>
          <w:color w:val="000000"/>
          <w:lang w:val="en-US" w:eastAsia="en-GB"/>
        </w:rPr>
      </w:pP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calls again his present and envisioned audience as his brothers with expectation. He identifies their roles when he addresses them as “teachers” and “leaders” (p. 53). He is aware of their ability to be mediators of change,</w:t>
      </w:r>
      <w:r w:rsidR="00DC2710" w:rsidRPr="00AE337C">
        <w:rPr>
          <w:rFonts w:eastAsia="Times New Roman" w:cstheme="minorHAnsi"/>
          <w:color w:val="000000"/>
          <w:lang w:val="en-US" w:eastAsia="en-GB"/>
        </w:rPr>
        <w:t xml:space="preserve"> </w:t>
      </w:r>
      <w:r w:rsidRPr="00AE337C">
        <w:rPr>
          <w:rFonts w:eastAsia="Times New Roman" w:cstheme="minorHAnsi"/>
          <w:color w:val="000000"/>
          <w:spacing w:val="5"/>
          <w:lang w:val="en-US" w:eastAsia="en-GB"/>
        </w:rPr>
        <w:t xml:space="preserve">who can defend the rights and also show good influence. He even considers them as strivers of Islam as he is aware that they can be the mediators of change. He asserts that </w:t>
      </w:r>
      <w:r w:rsidRPr="00AE337C">
        <w:rPr>
          <w:rFonts w:eastAsia="Times New Roman" w:cstheme="minorHAnsi"/>
          <w:color w:val="000000"/>
          <w:lang w:val="en-US" w:eastAsia="en-GB"/>
        </w:rPr>
        <w:t xml:space="preserve">their good acts and morality can influence not only the different Arab groups but also those from America. </w:t>
      </w:r>
      <w:r w:rsidR="00F931E7" w:rsidRPr="00AE337C">
        <w:rPr>
          <w:rFonts w:eastAsia="Times New Roman" w:cstheme="minorHAnsi"/>
          <w:color w:val="000000"/>
          <w:lang w:val="en-US" w:eastAsia="en-GB"/>
        </w:rPr>
        <w:t>Therefore,</w:t>
      </w:r>
      <w:r w:rsidRPr="00AE337C">
        <w:rPr>
          <w:rFonts w:eastAsia="Times New Roman" w:cstheme="minorHAnsi"/>
          <w:color w:val="000000"/>
          <w:lang w:val="en-US" w:eastAsia="en-GB"/>
        </w:rPr>
        <w:t xml:space="preserve"> he appeals to them to make</w:t>
      </w:r>
      <w:r w:rsidRPr="00AE337C">
        <w:rPr>
          <w:rFonts w:eastAsia="Times New Roman" w:cstheme="minorHAnsi"/>
          <w:color w:val="000000"/>
          <w:spacing w:val="5"/>
          <w:lang w:val="en-US" w:eastAsia="en-GB"/>
        </w:rPr>
        <w:t xml:space="preserve"> changes through their decision and actions by striving in their sacred duty in</w:t>
      </w:r>
      <w:r w:rsidRPr="00AE337C">
        <w:rPr>
          <w:rFonts w:eastAsia="Times New Roman" w:cstheme="minorHAnsi"/>
          <w:color w:val="000000"/>
          <w:spacing w:val="-1"/>
          <w:lang w:val="en-US" w:eastAsia="en-GB"/>
        </w:rPr>
        <w:t>w</w:t>
      </w:r>
      <w:r w:rsidRPr="00AE337C">
        <w:rPr>
          <w:rFonts w:eastAsia="Times New Roman" w:cstheme="minorHAnsi"/>
          <w:color w:val="000000"/>
          <w:spacing w:val="1"/>
          <w:lang w:val="en-US" w:eastAsia="en-GB"/>
        </w:rPr>
        <w:t>or</w:t>
      </w:r>
      <w:r w:rsidRPr="00AE337C">
        <w:rPr>
          <w:rFonts w:eastAsia="Times New Roman" w:cstheme="minorHAnsi"/>
          <w:color w:val="000000"/>
          <w:spacing w:val="-2"/>
          <w:lang w:val="en-US" w:eastAsia="en-GB"/>
        </w:rPr>
        <w:t>k</w:t>
      </w:r>
      <w:r w:rsidRPr="00AE337C">
        <w:rPr>
          <w:rFonts w:eastAsia="Times New Roman" w:cstheme="minorHAnsi"/>
          <w:color w:val="000000"/>
          <w:lang w:val="en-US" w:eastAsia="en-GB"/>
        </w:rPr>
        <w:t>i</w:t>
      </w:r>
      <w:r w:rsidRPr="00AE337C">
        <w:rPr>
          <w:rFonts w:eastAsia="Times New Roman" w:cstheme="minorHAnsi"/>
          <w:color w:val="000000"/>
          <w:spacing w:val="3"/>
          <w:lang w:val="en-US" w:eastAsia="en-GB"/>
        </w:rPr>
        <w:t>n</w:t>
      </w:r>
      <w:r w:rsidRPr="00AE337C">
        <w:rPr>
          <w:rFonts w:eastAsia="Times New Roman" w:cstheme="minorHAnsi"/>
          <w:color w:val="000000"/>
          <w:lang w:val="en-US" w:eastAsia="en-GB"/>
        </w:rPr>
        <w:t xml:space="preserve">g </w:t>
      </w:r>
      <w:proofErr w:type="spellStart"/>
      <w:r w:rsidRPr="00AE337C">
        <w:rPr>
          <w:rFonts w:eastAsia="Times New Roman" w:cstheme="minorHAnsi"/>
          <w:color w:val="000000"/>
          <w:spacing w:val="3"/>
          <w:lang w:val="en-US" w:eastAsia="en-GB"/>
        </w:rPr>
        <w:t>s</w:t>
      </w:r>
      <w:r w:rsidRPr="00AE337C">
        <w:rPr>
          <w:rFonts w:eastAsia="Times New Roman" w:cstheme="minorHAnsi"/>
          <w:color w:val="000000"/>
          <w:spacing w:val="-1"/>
          <w:lang w:val="en-US" w:eastAsia="en-GB"/>
        </w:rPr>
        <w:t>p</w:t>
      </w:r>
      <w:r w:rsidRPr="00AE337C">
        <w:rPr>
          <w:rFonts w:eastAsia="Times New Roman" w:cstheme="minorHAnsi"/>
          <w:color w:val="000000"/>
          <w:spacing w:val="2"/>
          <w:lang w:val="en-US" w:eastAsia="en-GB"/>
        </w:rPr>
        <w:t>i</w:t>
      </w:r>
      <w:r w:rsidRPr="00AE337C">
        <w:rPr>
          <w:rFonts w:eastAsia="Times New Roman" w:cstheme="minorHAnsi"/>
          <w:color w:val="000000"/>
          <w:spacing w:val="-1"/>
          <w:lang w:val="en-US" w:eastAsia="en-GB"/>
        </w:rPr>
        <w:t>r</w:t>
      </w:r>
      <w:r w:rsidRPr="00AE337C">
        <w:rPr>
          <w:rFonts w:eastAsia="Times New Roman" w:cstheme="minorHAnsi"/>
          <w:color w:val="000000"/>
          <w:lang w:val="en-US" w:eastAsia="en-GB"/>
        </w:rPr>
        <w:t>itof</w:t>
      </w:r>
      <w:proofErr w:type="spellEnd"/>
      <w:r w:rsidRPr="00AE337C">
        <w:rPr>
          <w:rFonts w:eastAsia="Times New Roman" w:cstheme="minorHAnsi"/>
          <w:color w:val="000000"/>
          <w:lang w:val="en-US" w:eastAsia="en-GB"/>
        </w:rPr>
        <w:t xml:space="preserve"> </w:t>
      </w:r>
      <w:r w:rsidRPr="00AE337C">
        <w:rPr>
          <w:rFonts w:eastAsia="Times New Roman" w:cstheme="minorHAnsi"/>
          <w:color w:val="000000"/>
          <w:spacing w:val="-3"/>
          <w:w w:val="101"/>
          <w:lang w:val="en-US" w:eastAsia="en-GB"/>
        </w:rPr>
        <w:t>I</w:t>
      </w:r>
      <w:r w:rsidRPr="00AE337C">
        <w:rPr>
          <w:rFonts w:eastAsia="Times New Roman" w:cstheme="minorHAnsi"/>
          <w:color w:val="000000"/>
          <w:w w:val="101"/>
          <w:lang w:val="en-US" w:eastAsia="en-GB"/>
        </w:rPr>
        <w:t>sl</w:t>
      </w:r>
      <w:r w:rsidRPr="00AE337C">
        <w:rPr>
          <w:rFonts w:eastAsia="Times New Roman" w:cstheme="minorHAnsi"/>
          <w:color w:val="000000"/>
          <w:spacing w:val="2"/>
          <w:w w:val="101"/>
          <w:lang w:val="en-US" w:eastAsia="en-GB"/>
        </w:rPr>
        <w:t>a</w:t>
      </w:r>
      <w:r w:rsidRPr="00AE337C">
        <w:rPr>
          <w:rFonts w:eastAsia="Times New Roman" w:cstheme="minorHAnsi"/>
          <w:color w:val="000000"/>
          <w:spacing w:val="-2"/>
          <w:w w:val="101"/>
          <w:lang w:val="en-US" w:eastAsia="en-GB"/>
        </w:rPr>
        <w:t>m</w:t>
      </w:r>
      <w:r w:rsidRPr="00AE337C">
        <w:rPr>
          <w:rFonts w:eastAsia="Times New Roman" w:cstheme="minorHAnsi"/>
          <w:color w:val="000000"/>
          <w:w w:val="101"/>
          <w:lang w:val="en-US" w:eastAsia="en-GB"/>
        </w:rPr>
        <w:t xml:space="preserve">ic </w:t>
      </w:r>
      <w:proofErr w:type="spellStart"/>
      <w:r w:rsidRPr="00AE337C">
        <w:rPr>
          <w:rFonts w:eastAsia="Times New Roman" w:cstheme="minorHAnsi"/>
          <w:color w:val="000000"/>
          <w:spacing w:val="1"/>
          <w:lang w:val="en-US" w:eastAsia="en-GB"/>
        </w:rPr>
        <w:t>un</w:t>
      </w:r>
      <w:r w:rsidRPr="00AE337C">
        <w:rPr>
          <w:rFonts w:eastAsia="Times New Roman" w:cstheme="minorHAnsi"/>
          <w:color w:val="000000"/>
          <w:lang w:val="en-US" w:eastAsia="en-GB"/>
        </w:rPr>
        <w:t>i</w:t>
      </w:r>
      <w:r w:rsidRPr="00AE337C">
        <w:rPr>
          <w:rFonts w:eastAsia="Times New Roman" w:cstheme="minorHAnsi"/>
          <w:color w:val="000000"/>
          <w:spacing w:val="2"/>
          <w:lang w:val="en-US" w:eastAsia="en-GB"/>
        </w:rPr>
        <w:t>t</w:t>
      </w:r>
      <w:r w:rsidRPr="00AE337C">
        <w:rPr>
          <w:rFonts w:eastAsia="Times New Roman" w:cstheme="minorHAnsi"/>
          <w:color w:val="000000"/>
          <w:lang w:val="en-US" w:eastAsia="en-GB"/>
        </w:rPr>
        <w:t>ya</w:t>
      </w:r>
      <w:r w:rsidRPr="00AE337C">
        <w:rPr>
          <w:rFonts w:eastAsia="Times New Roman" w:cstheme="minorHAnsi"/>
          <w:color w:val="000000"/>
          <w:spacing w:val="1"/>
          <w:lang w:val="en-US" w:eastAsia="en-GB"/>
        </w:rPr>
        <w:t>n</w:t>
      </w:r>
      <w:r w:rsidRPr="00AE337C">
        <w:rPr>
          <w:rFonts w:eastAsia="Times New Roman" w:cstheme="minorHAnsi"/>
          <w:color w:val="000000"/>
          <w:lang w:val="en-US" w:eastAsia="en-GB"/>
        </w:rPr>
        <w:t>dt</w:t>
      </w:r>
      <w:r w:rsidRPr="00AE337C">
        <w:rPr>
          <w:rFonts w:eastAsia="Times New Roman" w:cstheme="minorHAnsi"/>
          <w:color w:val="000000"/>
          <w:spacing w:val="-1"/>
          <w:lang w:val="en-US" w:eastAsia="en-GB"/>
        </w:rPr>
        <w:t>r</w:t>
      </w:r>
      <w:r w:rsidRPr="00AE337C">
        <w:rPr>
          <w:rFonts w:eastAsia="Times New Roman" w:cstheme="minorHAnsi"/>
          <w:color w:val="000000"/>
          <w:spacing w:val="1"/>
          <w:lang w:val="en-US" w:eastAsia="en-GB"/>
        </w:rPr>
        <w:t>u</w:t>
      </w:r>
      <w:r w:rsidRPr="00AE337C">
        <w:rPr>
          <w:rFonts w:eastAsia="Times New Roman" w:cstheme="minorHAnsi"/>
          <w:color w:val="000000"/>
          <w:lang w:val="en-US" w:eastAsia="en-GB"/>
        </w:rPr>
        <w:t>e</w:t>
      </w:r>
      <w:r w:rsidRPr="00AE337C">
        <w:rPr>
          <w:rFonts w:eastAsia="Times New Roman" w:cstheme="minorHAnsi"/>
          <w:color w:val="000000"/>
          <w:spacing w:val="-1"/>
          <w:lang w:val="en-US" w:eastAsia="en-GB"/>
        </w:rPr>
        <w:t>I</w:t>
      </w:r>
      <w:r w:rsidRPr="00AE337C">
        <w:rPr>
          <w:rFonts w:eastAsia="Times New Roman" w:cstheme="minorHAnsi"/>
          <w:color w:val="000000"/>
          <w:lang w:val="en-US" w:eastAsia="en-GB"/>
        </w:rPr>
        <w:t>sl</w:t>
      </w:r>
      <w:r w:rsidRPr="00AE337C">
        <w:rPr>
          <w:rFonts w:eastAsia="Times New Roman" w:cstheme="minorHAnsi"/>
          <w:color w:val="000000"/>
          <w:spacing w:val="2"/>
          <w:lang w:val="en-US" w:eastAsia="en-GB"/>
        </w:rPr>
        <w:t>a</w:t>
      </w:r>
      <w:r w:rsidRPr="00AE337C">
        <w:rPr>
          <w:rFonts w:eastAsia="Times New Roman" w:cstheme="minorHAnsi"/>
          <w:color w:val="000000"/>
          <w:spacing w:val="-2"/>
          <w:lang w:val="en-US" w:eastAsia="en-GB"/>
        </w:rPr>
        <w:t>m</w:t>
      </w:r>
      <w:r w:rsidRPr="00AE337C">
        <w:rPr>
          <w:rFonts w:eastAsia="Times New Roman" w:cstheme="minorHAnsi"/>
          <w:color w:val="000000"/>
          <w:lang w:val="en-US" w:eastAsia="en-GB"/>
        </w:rPr>
        <w:t>icbrotherhood</w:t>
      </w:r>
      <w:proofErr w:type="spellEnd"/>
      <w:r w:rsidRPr="00AE337C">
        <w:rPr>
          <w:rFonts w:eastAsia="Times New Roman" w:cstheme="minorHAnsi"/>
          <w:color w:val="000000"/>
          <w:lang w:val="en-US" w:eastAsia="en-GB"/>
        </w:rPr>
        <w:t xml:space="preserve">. Then, </w:t>
      </w: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w:t>
      </w:r>
      <w:proofErr w:type="spellStart"/>
      <w:r w:rsidRPr="00AE337C">
        <w:rPr>
          <w:rFonts w:eastAsia="Times New Roman" w:cstheme="minorHAnsi"/>
          <w:color w:val="000000"/>
          <w:lang w:val="en-US" w:eastAsia="en-GB"/>
        </w:rPr>
        <w:t>conceptualises</w:t>
      </w:r>
      <w:proofErr w:type="spellEnd"/>
      <w:r w:rsidRPr="00AE337C">
        <w:rPr>
          <w:rFonts w:eastAsia="Times New Roman" w:cstheme="minorHAnsi"/>
          <w:color w:val="000000"/>
          <w:lang w:val="en-US" w:eastAsia="en-GB"/>
        </w:rPr>
        <w:t xml:space="preserve"> the Islamic society in terms of a factory through </w:t>
      </w:r>
      <w:proofErr w:type="spellStart"/>
      <w:r w:rsidRPr="00AE337C">
        <w:rPr>
          <w:rFonts w:eastAsia="Times New Roman" w:cstheme="minorHAnsi"/>
          <w:color w:val="000000"/>
          <w:lang w:val="en-US" w:eastAsia="en-GB"/>
        </w:rPr>
        <w:t>hisstrong</w:t>
      </w:r>
      <w:proofErr w:type="spellEnd"/>
      <w:r w:rsidRPr="00AE337C">
        <w:rPr>
          <w:rFonts w:eastAsia="Times New Roman" w:cstheme="minorHAnsi"/>
          <w:color w:val="000000"/>
          <w:lang w:val="en-US" w:eastAsia="en-GB"/>
        </w:rPr>
        <w:t xml:space="preserve"> vision and expectation. His perception of unity in a society that can be developed and built in the form of a factory depends on the members as the components of machines. Thus, the factory which resembles the community can develop well when the members of the community work together in unity </w:t>
      </w:r>
      <w:proofErr w:type="spellStart"/>
      <w:r w:rsidRPr="00AE337C">
        <w:rPr>
          <w:rFonts w:eastAsia="Times New Roman" w:cstheme="minorHAnsi"/>
          <w:color w:val="000000"/>
          <w:lang w:val="en-US" w:eastAsia="en-GB"/>
        </w:rPr>
        <w:t>andnot</w:t>
      </w:r>
      <w:proofErr w:type="spellEnd"/>
      <w:r w:rsidRPr="00AE337C">
        <w:rPr>
          <w:rFonts w:eastAsia="Times New Roman" w:cstheme="minorHAnsi"/>
          <w:color w:val="000000"/>
          <w:lang w:val="en-US" w:eastAsia="en-GB"/>
        </w:rPr>
        <w:t xml:space="preserve"> paying attention to the mistakes of others in order to avoid the problem of disunity.  </w:t>
      </w:r>
    </w:p>
    <w:p w:rsidR="00D308E2" w:rsidRPr="00AE337C" w:rsidRDefault="00D308E2" w:rsidP="00AE337C">
      <w:pPr>
        <w:spacing w:after="120" w:line="240" w:lineRule="auto"/>
        <w:ind w:firstLine="567"/>
        <w:jc w:val="both"/>
        <w:rPr>
          <w:rFonts w:eastAsia="Times New Roman" w:cstheme="minorHAnsi"/>
          <w:color w:val="000000"/>
          <w:lang w:val="en-US" w:eastAsia="en-GB"/>
        </w:rPr>
      </w:pPr>
      <w:proofErr w:type="spellStart"/>
      <w:r w:rsidRPr="00AE337C">
        <w:rPr>
          <w:rFonts w:cstheme="minorHAnsi"/>
          <w:color w:val="000000"/>
          <w:lang w:val="en-US"/>
        </w:rPr>
        <w:t>Nursi</w:t>
      </w:r>
      <w:proofErr w:type="spellEnd"/>
      <w:r w:rsidRPr="00AE337C">
        <w:rPr>
          <w:rFonts w:cstheme="minorHAnsi"/>
          <w:color w:val="000000"/>
          <w:lang w:val="en-US"/>
        </w:rPr>
        <w:t xml:space="preserve"> advises his audience to assist one </w:t>
      </w:r>
      <w:proofErr w:type="spellStart"/>
      <w:r w:rsidRPr="00AE337C">
        <w:rPr>
          <w:rFonts w:cstheme="minorHAnsi"/>
          <w:color w:val="000000"/>
          <w:lang w:val="en-US"/>
        </w:rPr>
        <w:t>another</w:t>
      </w:r>
      <w:r w:rsidRPr="00AE337C">
        <w:rPr>
          <w:rFonts w:eastAsia="Calibri" w:cstheme="minorHAnsi"/>
          <w:lang w:val="en-US"/>
        </w:rPr>
        <w:t>morally</w:t>
      </w:r>
      <w:proofErr w:type="spellEnd"/>
      <w:r w:rsidRPr="00AE337C">
        <w:rPr>
          <w:rFonts w:eastAsia="Calibri" w:cstheme="minorHAnsi"/>
          <w:lang w:val="en-US"/>
        </w:rPr>
        <w:t xml:space="preserve"> and if </w:t>
      </w:r>
      <w:r w:rsidR="00F931E7" w:rsidRPr="00AE337C">
        <w:rPr>
          <w:rFonts w:eastAsia="Calibri" w:cstheme="minorHAnsi"/>
          <w:lang w:val="en-US"/>
        </w:rPr>
        <w:t>necessary,</w:t>
      </w:r>
      <w:r w:rsidRPr="00AE337C">
        <w:rPr>
          <w:rFonts w:eastAsia="Calibri" w:cstheme="minorHAnsi"/>
          <w:lang w:val="en-US"/>
        </w:rPr>
        <w:t xml:space="preserve"> materially and also bounding to each other to create a “luminous chain” (p. 52) as the ‘positive action</w:t>
      </w:r>
      <w:r w:rsidR="00DC2710" w:rsidRPr="00AE337C">
        <w:rPr>
          <w:rFonts w:eastAsia="Calibri" w:cstheme="minorHAnsi"/>
          <w:lang w:val="en-US"/>
        </w:rPr>
        <w:t>’</w:t>
      </w:r>
      <w:r w:rsidRPr="00AE337C">
        <w:rPr>
          <w:rFonts w:eastAsia="Calibri" w:cstheme="minorHAnsi"/>
          <w:lang w:val="en-US"/>
        </w:rPr>
        <w:t>.</w:t>
      </w:r>
      <w:r w:rsidR="00DC2710" w:rsidRPr="00AE337C">
        <w:rPr>
          <w:rFonts w:eastAsia="Calibri" w:cstheme="minorHAnsi"/>
          <w:lang w:val="en-US"/>
        </w:rPr>
        <w:t xml:space="preserve"> </w:t>
      </w:r>
      <w:r w:rsidRPr="00AE337C">
        <w:rPr>
          <w:rFonts w:eastAsia="Times New Roman" w:cstheme="minorHAnsi"/>
          <w:color w:val="000000"/>
          <w:lang w:val="en-US" w:eastAsia="en-GB"/>
        </w:rPr>
        <w:t>The fitting responses for the solution of solidarity are “assist,” “luminous chain,” “beneficial” and “strengthen” that leads to a positive modification. The verb “assist” refers to the rewarding strong support while the phrase</w:t>
      </w:r>
      <w:r w:rsidRPr="00AE337C">
        <w:rPr>
          <w:rFonts w:eastAsia="Calibri" w:cstheme="minorHAnsi"/>
          <w:color w:val="000000"/>
          <w:w w:val="101"/>
          <w:lang w:val="en-US" w:eastAsia="en-GB"/>
        </w:rPr>
        <w:t xml:space="preserve"> “</w:t>
      </w:r>
      <w:r w:rsidRPr="00AE337C">
        <w:rPr>
          <w:rFonts w:eastAsia="Calibri" w:cstheme="minorHAnsi"/>
          <w:color w:val="000000"/>
          <w:spacing w:val="1"/>
          <w:lang w:val="en-US" w:eastAsia="en-GB"/>
        </w:rPr>
        <w:t xml:space="preserve">luminous </w:t>
      </w:r>
      <w:r w:rsidR="00F931E7" w:rsidRPr="00AE337C">
        <w:rPr>
          <w:rFonts w:eastAsia="Calibri" w:cstheme="minorHAnsi"/>
          <w:color w:val="000000"/>
          <w:spacing w:val="1"/>
          <w:lang w:val="en-US" w:eastAsia="en-GB"/>
        </w:rPr>
        <w:t>chain” indicates</w:t>
      </w:r>
      <w:r w:rsidRPr="00AE337C">
        <w:rPr>
          <w:rFonts w:eastAsia="Calibri" w:cstheme="minorHAnsi"/>
          <w:color w:val="000000"/>
          <w:spacing w:val="1"/>
          <w:lang w:val="en-US" w:eastAsia="en-GB"/>
        </w:rPr>
        <w:t xml:space="preserve"> the ability to produce positive effect that binds the connection among believers. The </w:t>
      </w:r>
      <w:r w:rsidRPr="00AE337C">
        <w:rPr>
          <w:rFonts w:eastAsia="Times New Roman" w:cstheme="minorHAnsi"/>
          <w:color w:val="000000"/>
          <w:lang w:val="en-US" w:eastAsia="en-GB"/>
        </w:rPr>
        <w:t xml:space="preserve">adjective </w:t>
      </w:r>
      <w:r w:rsidRPr="00AE337C">
        <w:rPr>
          <w:rFonts w:eastAsia="Times New Roman" w:cstheme="minorHAnsi"/>
          <w:color w:val="000000"/>
          <w:lang w:val="en-US" w:eastAsia="en-GB"/>
        </w:rPr>
        <w:lastRenderedPageBreak/>
        <w:t xml:space="preserve">“beneficial” (p. 53) indicates the positive effect of unity where millions of believers can “strengthen” (p. 53) their bonds through mutual moral, spiritual and material support. The </w:t>
      </w:r>
      <w:r w:rsidRPr="00AE337C">
        <w:rPr>
          <w:rFonts w:eastAsia="Calibri" w:cstheme="minorHAnsi"/>
          <w:color w:val="000000"/>
          <w:w w:val="101"/>
          <w:lang w:val="en-US" w:eastAsia="en-GB"/>
        </w:rPr>
        <w:t>verb “strengthen” indicates being stronger through mutual support.</w:t>
      </w:r>
      <w:r w:rsidR="00DC2710" w:rsidRPr="00AE337C">
        <w:rPr>
          <w:rFonts w:eastAsia="Calibri" w:cstheme="minorHAnsi"/>
          <w:color w:val="000000"/>
          <w:w w:val="101"/>
          <w:lang w:val="en-US" w:eastAsia="en-GB"/>
        </w:rPr>
        <w:t xml:space="preserve"> </w:t>
      </w:r>
      <w:proofErr w:type="spellStart"/>
      <w:r w:rsidRPr="00AE337C">
        <w:rPr>
          <w:rFonts w:cstheme="minorHAnsi"/>
          <w:lang w:val="en-US"/>
        </w:rPr>
        <w:t>Nursi</w:t>
      </w:r>
      <w:proofErr w:type="spellEnd"/>
      <w:r w:rsidRPr="00AE337C">
        <w:rPr>
          <w:rFonts w:cstheme="minorHAnsi"/>
          <w:lang w:val="en-US"/>
        </w:rPr>
        <w:t xml:space="preserve"> mentions that</w:t>
      </w:r>
      <w:r w:rsidR="00B65B25" w:rsidRPr="00AE337C">
        <w:rPr>
          <w:rFonts w:cstheme="minorHAnsi"/>
          <w:lang w:val="en-US"/>
        </w:rPr>
        <w:t xml:space="preserve"> </w:t>
      </w:r>
      <w:r w:rsidRPr="00AE337C">
        <w:rPr>
          <w:rFonts w:cstheme="minorHAnsi"/>
          <w:lang w:val="en-US"/>
        </w:rPr>
        <w:t>“Since at this time irreligion and those who deviate from the path of truth, take advantage of disunity, they confuse those who follow Isla</w:t>
      </w:r>
      <w:r w:rsidR="00DC2710" w:rsidRPr="00AE337C">
        <w:rPr>
          <w:rFonts w:cstheme="minorHAnsi"/>
          <w:lang w:val="en-US"/>
        </w:rPr>
        <w:t xml:space="preserve">m and ruin the acts of worship </w:t>
      </w:r>
      <w:r w:rsidRPr="00AE337C">
        <w:rPr>
          <w:rFonts w:cstheme="minorHAnsi"/>
          <w:lang w:val="en-US"/>
        </w:rPr>
        <w:t xml:space="preserve">and against Iman there are strong forces, for sure against this awesome force the door of even small dispute and disunity must not be opened”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"Nursi", "given" : "Bediuzzaman Said", "non-dropping-particle" : "", "parse-names" : false, "suffix" : "" } ], "id" : "ITEM-1", "issued" : { "date-parts" : [ [ "2011" ] ] }, "number-of-pages" : "249", "publisher" : "RNK Nesriyat", "publisher-place" : "Istanbul, Turkey", "title" : "Emirdag Lahikasi II", "type" : "book" }, "uris" : [ "http://www.mendeley.com/documents/?uuid=424ecc59-26ba-4f20-92a7-5d64a2ad16ee" ] } ], "mendeley" : { "formattedCitation" : "(Nursi, 2011a)", "manualFormatting" : "(Nursi, 2011a, p.213)", "plainTextFormattedCitation" : "(Nursi, 2011a)", "previouslyFormattedCitation" : "(Nursi, 2011a)"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(Nursi, 2011a, p.213)</w:t>
      </w:r>
      <w:r w:rsidR="00A02014" w:rsidRPr="00AE337C">
        <w:rPr>
          <w:rFonts w:cstheme="minorHAnsi"/>
          <w:lang w:val="en-US"/>
        </w:rPr>
        <w:fldChar w:fldCharType="end"/>
      </w:r>
      <w:r w:rsidRPr="00AE337C">
        <w:rPr>
          <w:rFonts w:cstheme="minorHAnsi"/>
          <w:lang w:val="en-US"/>
        </w:rPr>
        <w:t>.</w:t>
      </w:r>
      <w:r w:rsidRPr="00AE337C">
        <w:rPr>
          <w:rFonts w:cstheme="minorHAnsi"/>
          <w:color w:val="000000"/>
          <w:lang w:val="en-US"/>
        </w:rPr>
        <w:t xml:space="preserve"> He also states that l</w:t>
      </w:r>
      <w:r w:rsidRPr="00AE337C">
        <w:rPr>
          <w:rFonts w:cstheme="minorHAnsi"/>
          <w:lang w:val="en-US"/>
        </w:rPr>
        <w:t xml:space="preserve">ife is the fruit of unity and </w:t>
      </w:r>
      <w:r w:rsidR="00F931E7" w:rsidRPr="00AE337C">
        <w:rPr>
          <w:rFonts w:cstheme="minorHAnsi"/>
          <w:lang w:val="en-US"/>
        </w:rPr>
        <w:t>oneness,</w:t>
      </w:r>
      <w:r w:rsidRPr="00AE337C">
        <w:rPr>
          <w:rFonts w:cstheme="minorHAnsi"/>
          <w:lang w:val="en-US"/>
        </w:rPr>
        <w:t xml:space="preserve"> but spiritual life will disappear if there are no harmony and unity. “If solidarity is broken, the essence of the community is lost”. “Beware, do not open the door of criticism and dispute between each other!”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"Nursi", "given" : "Bediuzzaman Said", "non-dropping-particle" : "", "parse-names" : false, "suffix" : "" } ], "id" : "ITEM-1", "issued" : { "date-parts" : [ [ "2011" ] ] }, "publisher" : "S\u00f6zler Ne\u015friyat", "publisher-place" : "Istanbul, Turkey", "title" : "Uhuvvet Risalesi", "type" : "book" }, "uris" : [ "http://www.mendeley.com/documents/?uuid=df04b998-086d-4607-a796-753fe5ede153" ] } ], "mendeley" : { "formattedCitation" : "(Nursi, 2011c)", "manualFormatting" : "(Nursi, 2011b, pp. 45-6)", "plainTextFormattedCitation" : "(Nursi, 2011c)", "previouslyFormattedCitation" : "(Nursi, 2011c)"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(Nursi, 2011b, pp. 45-6)</w:t>
      </w:r>
      <w:r w:rsidR="00A02014" w:rsidRPr="00AE337C">
        <w:rPr>
          <w:rFonts w:cstheme="minorHAnsi"/>
          <w:lang w:val="en-US"/>
        </w:rPr>
        <w:fldChar w:fldCharType="end"/>
      </w:r>
    </w:p>
    <w:p w:rsidR="00D308E2" w:rsidRPr="00AE337C" w:rsidRDefault="004F2E04" w:rsidP="00AE337C">
      <w:pPr>
        <w:widowControl w:val="0"/>
        <w:autoSpaceDE w:val="0"/>
        <w:autoSpaceDN w:val="0"/>
        <w:adjustRightInd w:val="0"/>
        <w:spacing w:after="120" w:line="240" w:lineRule="auto"/>
        <w:ind w:firstLine="567"/>
        <w:jc w:val="both"/>
        <w:rPr>
          <w:rFonts w:eastAsia="Calibri" w:cstheme="minorHAnsi"/>
          <w:b/>
          <w:color w:val="000000"/>
          <w:spacing w:val="1"/>
          <w:lang w:val="en-US" w:eastAsia="en-GB"/>
        </w:rPr>
      </w:pPr>
      <w:r w:rsidRPr="00AE337C">
        <w:rPr>
          <w:rFonts w:eastAsia="Calibri" w:cstheme="minorHAnsi"/>
          <w:b/>
          <w:color w:val="000000"/>
          <w:spacing w:val="1"/>
          <w:lang w:val="en-US" w:eastAsia="en-GB"/>
        </w:rPr>
        <w:t>3</w:t>
      </w:r>
      <w:r w:rsidR="00D308E2" w:rsidRPr="00AE337C">
        <w:rPr>
          <w:rFonts w:eastAsia="Calibri" w:cstheme="minorHAnsi"/>
          <w:b/>
          <w:color w:val="000000"/>
          <w:spacing w:val="1"/>
          <w:lang w:val="en-US" w:eastAsia="en-GB"/>
        </w:rPr>
        <w:t>.7. The sixth ‘Word,’ sincerity for the sickness of individualism</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w w:val="101"/>
          <w:lang w:val="en-US" w:eastAsia="en-GB"/>
        </w:rPr>
      </w:pPr>
      <w:proofErr w:type="spellStart"/>
      <w:r w:rsidRPr="00AE337C">
        <w:rPr>
          <w:rFonts w:cstheme="minorHAnsi"/>
          <w:color w:val="000000"/>
          <w:lang w:val="en-US"/>
        </w:rPr>
        <w:t>Nursi</w:t>
      </w:r>
      <w:proofErr w:type="spellEnd"/>
      <w:r w:rsidRPr="00AE337C">
        <w:rPr>
          <w:rFonts w:cstheme="minorHAnsi"/>
          <w:color w:val="000000"/>
          <w:lang w:val="en-US"/>
        </w:rPr>
        <w:t xml:space="preserve"> is still aware of his audience’s condition when he reaches the final stage of the </w:t>
      </w:r>
      <w:r w:rsidRPr="00AE337C">
        <w:rPr>
          <w:rFonts w:cstheme="minorHAnsi"/>
          <w:i/>
          <w:color w:val="000000"/>
          <w:lang w:val="en-US"/>
        </w:rPr>
        <w:t>Sermon</w:t>
      </w:r>
      <w:r w:rsidRPr="00AE337C">
        <w:rPr>
          <w:rFonts w:cstheme="minorHAnsi"/>
          <w:color w:val="000000"/>
          <w:lang w:val="en-US"/>
        </w:rPr>
        <w:t xml:space="preserve">. He observes that they are </w:t>
      </w:r>
      <w:r w:rsidRPr="00AE337C">
        <w:rPr>
          <w:rFonts w:eastAsia="Times New Roman" w:cstheme="minorHAnsi"/>
          <w:color w:val="000000"/>
          <w:lang w:val="en-US" w:eastAsia="en-GB"/>
        </w:rPr>
        <w:t xml:space="preserve">being confined to the situation of </w:t>
      </w:r>
      <w:r w:rsidRPr="00AE337C">
        <w:rPr>
          <w:rFonts w:cstheme="minorHAnsi"/>
          <w:lang w:val="en-US"/>
        </w:rPr>
        <w:t xml:space="preserve">deficiency in moral, spiritual and material matters. His audience has been going through the domination of external forces that causes them to be influenced by the negative values. Eventually, their characters are affected with negative qualities as they are drawn to be selfish and ignore the community. </w:t>
      </w:r>
      <w:r w:rsidRPr="00AE337C">
        <w:rPr>
          <w:rFonts w:eastAsia="Times New Roman" w:cstheme="minorHAnsi"/>
          <w:color w:val="000000"/>
          <w:w w:val="101"/>
          <w:lang w:val="en-US" w:eastAsia="en-GB"/>
        </w:rPr>
        <w:t xml:space="preserve">He conveys the implied negative causes of individualism when “one confines his view to his personal benefits” (p. 55) as self-interest, egotism and self-advantage. </w:t>
      </w:r>
      <w:r w:rsidRPr="00AE337C">
        <w:rPr>
          <w:rFonts w:cstheme="minorHAnsi"/>
          <w:lang w:val="en-US"/>
        </w:rPr>
        <w:t>Before he provides the sixth ‘</w:t>
      </w:r>
      <w:proofErr w:type="spellStart"/>
      <w:r w:rsidRPr="00AE337C">
        <w:rPr>
          <w:rFonts w:cstheme="minorHAnsi"/>
          <w:lang w:val="en-US"/>
        </w:rPr>
        <w:t>Word,’as</w:t>
      </w:r>
      <w:proofErr w:type="spellEnd"/>
      <w:r w:rsidRPr="00AE337C">
        <w:rPr>
          <w:rFonts w:cstheme="minorHAnsi"/>
          <w:lang w:val="en-US"/>
        </w:rPr>
        <w:t xml:space="preserve"> a solution to the sickness of individualism,</w:t>
      </w:r>
      <w:r w:rsidR="00B65B25" w:rsidRPr="00AE337C">
        <w:rPr>
          <w:rFonts w:cstheme="minorHAnsi"/>
          <w:lang w:val="en-US"/>
        </w:rPr>
        <w:t xml:space="preserve"> </w:t>
      </w:r>
      <w:r w:rsidRPr="00AE337C">
        <w:rPr>
          <w:rFonts w:cstheme="minorHAnsi"/>
          <w:lang w:val="en-US"/>
        </w:rPr>
        <w:t xml:space="preserve">he elaborates “mutual consultation enjoined by the </w:t>
      </w:r>
      <w:proofErr w:type="spellStart"/>
      <w:r w:rsidR="00F931E7" w:rsidRPr="00AE337C">
        <w:rPr>
          <w:rFonts w:cstheme="minorHAnsi"/>
          <w:lang w:val="en-US"/>
        </w:rPr>
        <w:t>Shari’a</w:t>
      </w:r>
      <w:proofErr w:type="spellEnd"/>
      <w:r w:rsidR="00F931E7" w:rsidRPr="00AE337C">
        <w:rPr>
          <w:rFonts w:cstheme="minorHAnsi"/>
          <w:lang w:val="en-US"/>
        </w:rPr>
        <w:t>” (</w:t>
      </w:r>
      <w:r w:rsidRPr="00AE337C">
        <w:rPr>
          <w:rFonts w:cstheme="minorHAnsi"/>
          <w:lang w:val="en-US"/>
        </w:rPr>
        <w:t xml:space="preserve">p. 56) as the constraint. Then, he provides “freedom according to </w:t>
      </w:r>
      <w:proofErr w:type="spellStart"/>
      <w:r w:rsidRPr="00AE337C">
        <w:rPr>
          <w:rFonts w:cstheme="minorHAnsi"/>
          <w:lang w:val="en-US"/>
        </w:rPr>
        <w:t>Shari’a</w:t>
      </w:r>
      <w:proofErr w:type="spellEnd"/>
      <w:r w:rsidRPr="00AE337C">
        <w:rPr>
          <w:rFonts w:cstheme="minorHAnsi"/>
          <w:lang w:val="en-US"/>
        </w:rPr>
        <w:t xml:space="preserve">” (p. 56) as the next constraint because the Muslims are kept as “captives.” These constraints </w:t>
      </w:r>
      <w:r w:rsidRPr="00AE337C">
        <w:rPr>
          <w:rFonts w:eastAsia="Times New Roman" w:cstheme="minorHAnsi"/>
          <w:color w:val="000000"/>
          <w:w w:val="101"/>
          <w:lang w:val="en-US" w:eastAsia="en-GB"/>
        </w:rPr>
        <w:t xml:space="preserve">can free man from oppression, despotism, being degraded, humiliated </w:t>
      </w:r>
      <w:proofErr w:type="spellStart"/>
      <w:r w:rsidRPr="00AE337C">
        <w:rPr>
          <w:rFonts w:eastAsia="Times New Roman" w:cstheme="minorHAnsi"/>
          <w:color w:val="000000"/>
          <w:w w:val="101"/>
          <w:lang w:val="en-US" w:eastAsia="en-GB"/>
        </w:rPr>
        <w:t>andabased</w:t>
      </w:r>
      <w:proofErr w:type="spellEnd"/>
      <w:r w:rsidRPr="00AE337C">
        <w:rPr>
          <w:rFonts w:eastAsia="Times New Roman" w:cstheme="minorHAnsi"/>
          <w:color w:val="000000"/>
          <w:w w:val="101"/>
          <w:lang w:val="en-US" w:eastAsia="en-GB"/>
        </w:rPr>
        <w:t xml:space="preserve">. </w:t>
      </w:r>
    </w:p>
    <w:p w:rsidR="00D308E2" w:rsidRPr="00AE337C" w:rsidRDefault="00D308E2" w:rsidP="00AE337C">
      <w:pPr>
        <w:widowControl w:val="0"/>
        <w:shd w:val="clear" w:color="auto" w:fill="FFFFFF"/>
        <w:autoSpaceDE w:val="0"/>
        <w:autoSpaceDN w:val="0"/>
        <w:adjustRightInd w:val="0"/>
        <w:spacing w:after="120" w:line="240" w:lineRule="auto"/>
        <w:ind w:firstLine="567"/>
        <w:jc w:val="both"/>
        <w:rPr>
          <w:rFonts w:eastAsia="Times New Roman" w:cstheme="minorHAnsi"/>
          <w:color w:val="000000"/>
          <w:lang w:val="en-US" w:eastAsia="en-GB"/>
        </w:rPr>
      </w:pPr>
      <w:r w:rsidRPr="00AE337C">
        <w:rPr>
          <w:rFonts w:eastAsia="Times New Roman" w:cstheme="minorHAnsi"/>
          <w:color w:val="000000"/>
          <w:lang w:val="en-US" w:eastAsia="en-GB"/>
        </w:rPr>
        <w:t xml:space="preserve">In the final stage of the </w:t>
      </w:r>
      <w:r w:rsidRPr="00AE337C">
        <w:rPr>
          <w:rFonts w:eastAsia="Times New Roman" w:cstheme="minorHAnsi"/>
          <w:i/>
          <w:color w:val="000000"/>
          <w:lang w:val="en-US" w:eastAsia="en-GB"/>
        </w:rPr>
        <w:t>Sermon</w:t>
      </w:r>
      <w:r w:rsidRPr="00AE337C">
        <w:rPr>
          <w:rFonts w:eastAsia="Times New Roman" w:cstheme="minorHAnsi"/>
          <w:color w:val="000000"/>
          <w:lang w:val="en-US" w:eastAsia="en-GB"/>
        </w:rPr>
        <w:t xml:space="preserve">, </w:t>
      </w: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refers to “the </w:t>
      </w:r>
      <w:r w:rsidRPr="00AE337C">
        <w:rPr>
          <w:rFonts w:cstheme="minorHAnsi"/>
          <w:color w:val="000000"/>
          <w:lang w:val="en-US"/>
        </w:rPr>
        <w:t xml:space="preserve">Twenty-First Flash of his </w:t>
      </w:r>
      <w:proofErr w:type="spellStart"/>
      <w:r w:rsidRPr="00AE337C">
        <w:rPr>
          <w:rFonts w:cstheme="minorHAnsi"/>
          <w:i/>
          <w:color w:val="000000"/>
          <w:lang w:val="en-US"/>
        </w:rPr>
        <w:t>Risale-</w:t>
      </w:r>
      <w:r w:rsidR="00B65B25" w:rsidRPr="00AE337C">
        <w:rPr>
          <w:rFonts w:cstheme="minorHAnsi"/>
          <w:i/>
          <w:color w:val="000000"/>
          <w:lang w:val="en-US"/>
        </w:rPr>
        <w:t>i</w:t>
      </w:r>
      <w:proofErr w:type="spellEnd"/>
      <w:r w:rsidR="00B65B25" w:rsidRPr="00AE337C">
        <w:rPr>
          <w:rFonts w:cstheme="minorHAnsi"/>
          <w:i/>
          <w:color w:val="000000"/>
          <w:lang w:val="en-US"/>
        </w:rPr>
        <w:t xml:space="preserve"> </w:t>
      </w:r>
      <w:r w:rsidRPr="00AE337C">
        <w:rPr>
          <w:rFonts w:cstheme="minorHAnsi"/>
          <w:i/>
          <w:color w:val="000000"/>
          <w:lang w:val="en-US"/>
        </w:rPr>
        <w:t>Nur</w:t>
      </w:r>
      <w:r w:rsidRPr="00AE337C">
        <w:rPr>
          <w:rFonts w:cstheme="minorHAnsi"/>
          <w:color w:val="000000"/>
          <w:lang w:val="en-US"/>
        </w:rPr>
        <w:t xml:space="preserve"> on the Treatise on Sincerity” (p. 57). He asserts </w:t>
      </w:r>
      <w:r w:rsidRPr="00AE337C">
        <w:rPr>
          <w:rFonts w:eastAsia="Times New Roman" w:cstheme="minorHAnsi"/>
          <w:color w:val="000000"/>
          <w:lang w:val="en-US" w:eastAsia="en-GB"/>
        </w:rPr>
        <w:t xml:space="preserve">the traits of “collective personality” as moral strength </w:t>
      </w:r>
      <w:r w:rsidR="00A02014" w:rsidRPr="00AE337C">
        <w:rPr>
          <w:rFonts w:eastAsia="Times New Roman" w:cstheme="minorHAnsi"/>
          <w:color w:val="000000"/>
          <w:lang w:val="en-US" w:eastAsia="en-GB"/>
        </w:rPr>
        <w:fldChar w:fldCharType="begin" w:fldLock="1"/>
      </w:r>
      <w:r w:rsidRPr="00AE337C">
        <w:rPr>
          <w:rFonts w:eastAsia="Times New Roman" w:cstheme="minorHAnsi"/>
          <w:color w:val="000000"/>
          <w:lang w:val="en-US" w:eastAsia="en-GB"/>
        </w:rPr>
        <w:instrText>ADDIN CSL_CITATION { "citationItems" : [ { "id" : "ITEM-1", "itemData" : { "author" : [ { "dropping-particle" : "", "family" : "Nursi", "given" : "Bediuzzaman Said", "non-dropping-particle" : "", "parse-names" : false, "suffix" : "" } ], "id" : "ITEM-1", "issued" : { "date-parts" : [ [ "2011" ] ] }, "publisher" : "Sozler Nesriyat Tic.ve San.A.S", "publisher-place" : "Istanbul, Turkey", "title" : "The Flashes (Turkish Lem\u2019alar, Sukran Vahide, Trans)", "type" : "book" }, "uris" : [ "http://www.mendeley.com/documents/?uuid=eec872e5-7f9a-441b-854d-81cafefb7620" ] } ], "mendeley" : { "formattedCitation" : "(Nursi, 2011b)", "plainTextFormattedCitation" : "(Nursi, 2011b)", "previouslyFormattedCitation" : "(Nursi, 2011b)" }, "properties" : { "noteIndex" : 0 }, "schema" : "https://github.com/citation-style-language/schema/raw/master/csl-citation.json" }</w:instrText>
      </w:r>
      <w:r w:rsidR="00A02014" w:rsidRPr="00AE337C">
        <w:rPr>
          <w:rFonts w:eastAsia="Times New Roman" w:cstheme="minorHAnsi"/>
          <w:color w:val="000000"/>
          <w:lang w:val="en-US" w:eastAsia="en-GB"/>
        </w:rPr>
        <w:fldChar w:fldCharType="separate"/>
      </w:r>
      <w:r w:rsidRPr="00AE337C">
        <w:rPr>
          <w:rFonts w:eastAsia="Times New Roman" w:cstheme="minorHAnsi"/>
          <w:noProof/>
          <w:color w:val="000000"/>
          <w:lang w:val="en-US" w:eastAsia="en-GB"/>
        </w:rPr>
        <w:t>(Nursi, 2011b)</w:t>
      </w:r>
      <w:r w:rsidR="00A02014" w:rsidRPr="00AE337C">
        <w:rPr>
          <w:rFonts w:eastAsia="Times New Roman" w:cstheme="minorHAnsi"/>
          <w:color w:val="000000"/>
          <w:lang w:val="en-US" w:eastAsia="en-GB"/>
        </w:rPr>
        <w:fldChar w:fldCharType="end"/>
      </w:r>
      <w:r w:rsidRPr="00AE337C">
        <w:rPr>
          <w:rFonts w:eastAsia="Times New Roman" w:cstheme="minorHAnsi"/>
          <w:color w:val="000000"/>
          <w:lang w:val="en-US" w:eastAsia="en-GB"/>
        </w:rPr>
        <w:t xml:space="preserve">. Eventually, in order to discard individualism, the traits of collectivism are </w:t>
      </w:r>
      <w:r w:rsidR="00F931E7" w:rsidRPr="00AE337C">
        <w:rPr>
          <w:rFonts w:eastAsia="Times New Roman" w:cstheme="minorHAnsi"/>
          <w:color w:val="000000"/>
          <w:lang w:val="en-US" w:eastAsia="en-GB"/>
        </w:rPr>
        <w:t>practiced,</w:t>
      </w:r>
      <w:r w:rsidRPr="00AE337C">
        <w:rPr>
          <w:rFonts w:eastAsia="Times New Roman" w:cstheme="minorHAnsi"/>
          <w:color w:val="000000"/>
          <w:lang w:val="en-US" w:eastAsia="en-GB"/>
        </w:rPr>
        <w:t xml:space="preserve"> and he conveys the implied response </w:t>
      </w:r>
      <w:r w:rsidRPr="00AE337C">
        <w:rPr>
          <w:rFonts w:eastAsia="Times New Roman" w:cstheme="minorHAnsi"/>
          <w:color w:val="000000"/>
          <w:lang w:val="en-US" w:eastAsia="en-GB"/>
        </w:rPr>
        <w:lastRenderedPageBreak/>
        <w:t xml:space="preserve">which is the sixth ‘Word,’ sincerity as the solution. </w:t>
      </w:r>
      <w:proofErr w:type="spellStart"/>
      <w:r w:rsidRPr="00AE337C">
        <w:rPr>
          <w:rFonts w:cstheme="minorHAnsi"/>
          <w:lang w:val="en-US"/>
        </w:rPr>
        <w:t>Nursi</w:t>
      </w:r>
      <w:proofErr w:type="spellEnd"/>
      <w:r w:rsidRPr="00AE337C">
        <w:rPr>
          <w:rFonts w:cstheme="minorHAnsi"/>
          <w:lang w:val="en-US"/>
        </w:rPr>
        <w:t xml:space="preserve"> asserts “In the first place, the </w:t>
      </w:r>
      <w:proofErr w:type="spellStart"/>
      <w:r w:rsidRPr="00AE337C">
        <w:rPr>
          <w:rFonts w:cstheme="minorHAnsi"/>
          <w:lang w:val="en-US"/>
        </w:rPr>
        <w:t>Risale-i</w:t>
      </w:r>
      <w:proofErr w:type="spellEnd"/>
      <w:r w:rsidR="00F931E7">
        <w:rPr>
          <w:rFonts w:cstheme="minorHAnsi"/>
          <w:lang w:val="en-US"/>
        </w:rPr>
        <w:t xml:space="preserve"> </w:t>
      </w:r>
      <w:r w:rsidRPr="00AE337C">
        <w:rPr>
          <w:rFonts w:cstheme="minorHAnsi"/>
          <w:lang w:val="en-US"/>
        </w:rPr>
        <w:t xml:space="preserve">Nur teaches us to have real sincerity and to restrain </w:t>
      </w:r>
      <w:proofErr w:type="spellStart"/>
      <w:r w:rsidRPr="00AE337C">
        <w:rPr>
          <w:rFonts w:cstheme="minorHAnsi"/>
          <w:lang w:val="en-US"/>
        </w:rPr>
        <w:t>one’segoistic</w:t>
      </w:r>
      <w:proofErr w:type="spellEnd"/>
      <w:r w:rsidRPr="00AE337C">
        <w:rPr>
          <w:rFonts w:cstheme="minorHAnsi"/>
          <w:lang w:val="en-US"/>
        </w:rPr>
        <w:t xml:space="preserve"> tendencies and to be constantly aware of one’s own personal faults in order to prevent venturing down the path of </w:t>
      </w:r>
      <w:proofErr w:type="spellStart"/>
      <w:r w:rsidRPr="00AE337C">
        <w:rPr>
          <w:rFonts w:cstheme="minorHAnsi"/>
          <w:lang w:val="en-US"/>
        </w:rPr>
        <w:t>self-centredness</w:t>
      </w:r>
      <w:proofErr w:type="spellEnd"/>
      <w:r w:rsidRPr="00AE337C">
        <w:rPr>
          <w:rFonts w:cstheme="minorHAnsi"/>
          <w:lang w:val="en-US"/>
        </w:rPr>
        <w:t xml:space="preserve">. We are not demonstrating these as individuals, but instead we show the collective personality of the </w:t>
      </w:r>
      <w:proofErr w:type="spellStart"/>
      <w:r w:rsidRPr="00AE337C">
        <w:rPr>
          <w:rFonts w:cstheme="minorHAnsi"/>
          <w:i/>
          <w:lang w:val="en-US"/>
        </w:rPr>
        <w:t>Risale-</w:t>
      </w:r>
      <w:r w:rsidR="00B65B25" w:rsidRPr="00AE337C">
        <w:rPr>
          <w:rFonts w:cstheme="minorHAnsi"/>
          <w:i/>
          <w:lang w:val="en-US"/>
        </w:rPr>
        <w:t>i</w:t>
      </w:r>
      <w:proofErr w:type="spellEnd"/>
      <w:r w:rsidR="00B65B25" w:rsidRPr="00AE337C">
        <w:rPr>
          <w:rFonts w:cstheme="minorHAnsi"/>
          <w:i/>
          <w:lang w:val="en-US"/>
        </w:rPr>
        <w:t xml:space="preserve"> </w:t>
      </w:r>
      <w:r w:rsidRPr="00AE337C">
        <w:rPr>
          <w:rFonts w:cstheme="minorHAnsi"/>
          <w:i/>
          <w:lang w:val="en-US"/>
        </w:rPr>
        <w:t>Nur</w:t>
      </w:r>
      <w:r w:rsidRPr="00AE337C">
        <w:rPr>
          <w:rFonts w:cstheme="minorHAnsi"/>
          <w:lang w:val="en-US"/>
        </w:rPr>
        <w:t xml:space="preserve"> to the people of faith”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"Nursi", "given" : "Bediuzzaman Said", "non-dropping-particle" : "", "parse-names" : false, "suffix" : "" } ], "id" : "ITEM-1", "issued" : { "date-parts" : [ [ "2014" ] ] }, "number-of-pages" : "227", "publisher" : "I\u015f\u0131k Yay\u0131nc\u0131l\u0131k Ticaret", "publisher-place" : "Istanbul, Turkey", "title" : "The Emirdag Letters (Turkish Emirdag Lahikasi)", "type" : "book" }, "uris" : [ "http://www.mendeley.com/documents/?uuid=5c733ead-83aa-42c2-b5b7-058f3f9997b7" ] } ], "mendeley" : { "formattedCitation" : "(Nursi, 2014)", "plainTextFormattedCitation" : "(Nursi, 2014)", "previouslyFormattedCitation" : "(Nursi, 2014)"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(Nursi, 2014)</w:t>
      </w:r>
      <w:r w:rsidR="00A02014" w:rsidRPr="00AE337C">
        <w:rPr>
          <w:rFonts w:cstheme="minorHAnsi"/>
          <w:lang w:val="en-US"/>
        </w:rPr>
        <w:fldChar w:fldCharType="end"/>
      </w:r>
      <w:r w:rsidRPr="00AE337C">
        <w:rPr>
          <w:rFonts w:cstheme="minorHAnsi"/>
          <w:lang w:val="en-US"/>
        </w:rPr>
        <w:t>.</w:t>
      </w:r>
    </w:p>
    <w:p w:rsidR="00D308E2" w:rsidRPr="00AE337C" w:rsidRDefault="00D308E2" w:rsidP="00AE337C">
      <w:pPr>
        <w:spacing w:after="120" w:line="240" w:lineRule="auto"/>
        <w:ind w:firstLine="567"/>
        <w:jc w:val="both"/>
        <w:rPr>
          <w:rFonts w:eastAsia="Calibri" w:cstheme="minorHAnsi"/>
          <w:color w:val="000000"/>
          <w:lang w:val="en-US"/>
        </w:rPr>
      </w:pP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provides the </w:t>
      </w:r>
      <w:r w:rsidRPr="00AE337C">
        <w:rPr>
          <w:rFonts w:eastAsia="Times New Roman" w:cstheme="minorHAnsi"/>
          <w:color w:val="000000"/>
          <w:lang w:val="en-US"/>
        </w:rPr>
        <w:t xml:space="preserve">positive causes of sincerity from the constraints of mutual consultation and freedom according to the </w:t>
      </w:r>
      <w:proofErr w:type="spellStart"/>
      <w:r w:rsidRPr="00AE337C">
        <w:rPr>
          <w:rFonts w:eastAsia="Times New Roman" w:cstheme="minorHAnsi"/>
          <w:color w:val="000000"/>
          <w:lang w:val="en-US"/>
        </w:rPr>
        <w:t>Shari’a</w:t>
      </w:r>
      <w:proofErr w:type="spellEnd"/>
      <w:r w:rsidRPr="00AE337C">
        <w:rPr>
          <w:rFonts w:eastAsia="Times New Roman" w:cstheme="minorHAnsi"/>
          <w:color w:val="000000"/>
          <w:lang w:val="en-US"/>
        </w:rPr>
        <w:t xml:space="preserve">. </w:t>
      </w:r>
      <w:r w:rsidRPr="00AE337C">
        <w:rPr>
          <w:rFonts w:eastAsia="Calibri" w:cstheme="minorHAnsi"/>
          <w:color w:val="000000"/>
          <w:lang w:val="en-US"/>
        </w:rPr>
        <w:t xml:space="preserve">He asserts in the Treatise of Sincerity </w:t>
      </w:r>
      <w:proofErr w:type="spellStart"/>
      <w:r w:rsidRPr="00AE337C">
        <w:rPr>
          <w:rFonts w:eastAsia="Calibri" w:cstheme="minorHAnsi"/>
          <w:color w:val="000000"/>
          <w:lang w:val="en-US"/>
        </w:rPr>
        <w:t>ofthe</w:t>
      </w:r>
      <w:proofErr w:type="spellEnd"/>
      <w:r w:rsidRPr="00AE337C">
        <w:rPr>
          <w:rFonts w:eastAsia="Calibri" w:cstheme="minorHAnsi"/>
          <w:color w:val="000000"/>
          <w:lang w:val="en-US"/>
        </w:rPr>
        <w:t xml:space="preserve"> attributes of sincerity as “the greatest strength, the most acceptable intercessor, the firmest point of support, the shortest way to reality, the most acceptable prayer, the most wondrous means of achieving one’s goal, the highest quality and the purest worship” </w:t>
      </w:r>
      <w:r w:rsidR="00A02014" w:rsidRPr="00AE337C">
        <w:rPr>
          <w:rFonts w:eastAsia="Calibri" w:cstheme="minorHAnsi"/>
          <w:color w:val="000000"/>
          <w:lang w:val="en-US"/>
        </w:rPr>
        <w:fldChar w:fldCharType="begin" w:fldLock="1"/>
      </w:r>
      <w:r w:rsidRPr="00AE337C">
        <w:rPr>
          <w:rFonts w:eastAsia="Calibri" w:cstheme="minorHAnsi"/>
          <w:color w:val="000000"/>
          <w:lang w:val="en-US"/>
        </w:rPr>
        <w:instrText>ADDIN CSL_CITATION { "citationItems" : [ { "id" : "ITEM-1", "itemData" : { "author" : [ { "dropping-particle" : "", "family" : "Nursi", "given" : "Bediuzzaman Said", "non-dropping-particle" : "", "parse-names" : false, "suffix" : "" } ], "id" : "ITEM-1", "issued" : { "date-parts" : [ [ "2011" ] ] }, "publisher" : "Sozler Nesriyat Tic.ve San.A.S", "publisher-place" : "Istanbul, Turkey", "title" : "The Flashes (Turkish Lem\u2019alar, Sukran Vahide, Trans)", "type" : "book" }, "uris" : [ "http://www.mendeley.com/documents/?uuid=eec872e5-7f9a-441b-854d-81cafefb7620" ] } ], "mendeley" : { "formattedCitation" : "(Nursi, 2011b)", "manualFormatting" : "(Nursi, 2011b, p. 213)", "plainTextFormattedCitation" : "(Nursi, 2011b)", "previouslyFormattedCitation" : "(Nursi, 2011b)" }, "properties" : { "noteIndex" : 0 }, "schema" : "https://github.com/citation-style-language/schema/raw/master/csl-citation.json" }</w:instrText>
      </w:r>
      <w:r w:rsidR="00A02014" w:rsidRPr="00AE337C">
        <w:rPr>
          <w:rFonts w:eastAsia="Calibri" w:cstheme="minorHAnsi"/>
          <w:color w:val="000000"/>
          <w:lang w:val="en-US"/>
        </w:rPr>
        <w:fldChar w:fldCharType="separate"/>
      </w:r>
      <w:r w:rsidRPr="00AE337C">
        <w:rPr>
          <w:rFonts w:eastAsia="Calibri" w:cstheme="minorHAnsi"/>
          <w:noProof/>
          <w:color w:val="000000"/>
          <w:lang w:val="en-US"/>
        </w:rPr>
        <w:t>(Nursi, 2011b, p. 213)</w:t>
      </w:r>
      <w:r w:rsidR="00A02014" w:rsidRPr="00AE337C">
        <w:rPr>
          <w:rFonts w:eastAsia="Calibri" w:cstheme="minorHAnsi"/>
          <w:color w:val="000000"/>
          <w:lang w:val="en-US"/>
        </w:rPr>
        <w:fldChar w:fldCharType="end"/>
      </w:r>
      <w:r w:rsidRPr="00AE337C">
        <w:rPr>
          <w:rFonts w:eastAsia="Calibri" w:cstheme="minorHAnsi"/>
          <w:color w:val="000000"/>
          <w:lang w:val="en-US"/>
        </w:rPr>
        <w:t xml:space="preserve">.  Moreover, in the Treatise, </w:t>
      </w:r>
      <w:proofErr w:type="spellStart"/>
      <w:r w:rsidRPr="00AE337C">
        <w:rPr>
          <w:rFonts w:eastAsia="Calibri" w:cstheme="minorHAnsi"/>
          <w:color w:val="000000"/>
          <w:lang w:val="en-US"/>
        </w:rPr>
        <w:t>Nursi</w:t>
      </w:r>
      <w:proofErr w:type="spellEnd"/>
      <w:r w:rsidRPr="00AE337C">
        <w:rPr>
          <w:rFonts w:eastAsia="Calibri" w:cstheme="minorHAnsi"/>
          <w:color w:val="000000"/>
          <w:lang w:val="en-US"/>
        </w:rPr>
        <w:t xml:space="preserve"> also displays the implied attributes of the disease of individualism as well as the attributes of the virtue of sincerity which are collective personality and self-sacrificing characteristic. Eventually, he asserts the virtues of sincerity as the response to the sickness of individualism as follows:</w:t>
      </w:r>
    </w:p>
    <w:p w:rsidR="00D308E2" w:rsidRPr="00F931E7" w:rsidRDefault="00D308E2" w:rsidP="00F931E7">
      <w:pPr>
        <w:spacing w:after="120" w:line="240" w:lineRule="auto"/>
        <w:ind w:left="567" w:right="-1"/>
        <w:jc w:val="both"/>
        <w:rPr>
          <w:rFonts w:eastAsia="Calibri" w:cstheme="minorHAnsi"/>
          <w:sz w:val="20"/>
          <w:szCs w:val="20"/>
          <w:lang w:val="en-US"/>
        </w:rPr>
      </w:pPr>
      <w:r w:rsidRPr="00F931E7">
        <w:rPr>
          <w:rFonts w:eastAsia="Calibri" w:cstheme="minorHAnsi"/>
          <w:color w:val="000000"/>
          <w:sz w:val="20"/>
          <w:szCs w:val="20"/>
          <w:lang w:val="en-US"/>
        </w:rPr>
        <w:t xml:space="preserve">“Now the cure and remedy for this appalling disease is sincerity. Sincerity may be attained by preferring the worship of God to the worship of one’s own soul, by causing God’s pleasure to vanquish the pleasure of the soul and the ego, and thus manifesting the meaning of the verse, ‘Verily my reward is from God alone’ (Quran  11:29)” </w:t>
      </w:r>
      <w:r w:rsidR="00A02014" w:rsidRPr="00F931E7">
        <w:rPr>
          <w:rFonts w:eastAsia="Calibri" w:cstheme="minorHAnsi"/>
          <w:sz w:val="20"/>
          <w:szCs w:val="20"/>
          <w:lang w:val="en-US"/>
        </w:rPr>
        <w:fldChar w:fldCharType="begin" w:fldLock="1"/>
      </w:r>
      <w:r w:rsidRPr="00F931E7">
        <w:rPr>
          <w:rFonts w:eastAsia="Calibri" w:cstheme="minorHAnsi"/>
          <w:sz w:val="20"/>
          <w:szCs w:val="20"/>
          <w:lang w:val="en-US"/>
        </w:rPr>
        <w:instrText>ADDIN CSL_CITATION { "citationItems" : [ { "id" : "ITEM-1", "itemData" : { "author" : [ { "dropping-particle" : "", "family" : "Nursi", "given" : "Bediuzzaman Said", "non-dropping-particle" : "", "parse-names" : false, "suffix" : "" } ], "id" : "ITEM-1", "issued" : { "date-parts" : [ [ "2011" ] ] }, "publisher" : "Sozler Nesriyat Tic.ve San.A.S", "publisher-place" : "Istanbul, Turkey", "title" : "The Flashes (Turkish Lem\u2019alar, Sukran Vahide, Trans)", "type" : "book" }, "uris" : [ "http://www.mendeley.com/documents/?uuid=eec872e5-7f9a-441b-854d-81cafefb7620" ] } ], "mendeley" : { "formattedCitation" : "(Nursi, 2011b)", "manualFormatting" : "(Nursi, 2011b, p. 202)", "plainTextFormattedCitation" : "(Nursi, 2011b)", "previouslyFormattedCitation" : "(Nursi, 2011b)" }, "properties" : { "noteIndex" : 0 }, "schema" : "https://github.com/citation-style-language/schema/raw/master/csl-citation.json" }</w:instrText>
      </w:r>
      <w:r w:rsidR="00A02014" w:rsidRPr="00F931E7">
        <w:rPr>
          <w:rFonts w:eastAsia="Calibri" w:cstheme="minorHAnsi"/>
          <w:sz w:val="20"/>
          <w:szCs w:val="20"/>
          <w:lang w:val="en-US"/>
        </w:rPr>
        <w:fldChar w:fldCharType="separate"/>
      </w:r>
      <w:r w:rsidRPr="00F931E7">
        <w:rPr>
          <w:rFonts w:eastAsia="Calibri" w:cstheme="minorHAnsi"/>
          <w:noProof/>
          <w:sz w:val="20"/>
          <w:szCs w:val="20"/>
          <w:lang w:val="en-US"/>
        </w:rPr>
        <w:t>(Nursi, 2011b, p. 202)</w:t>
      </w:r>
      <w:r w:rsidR="00A02014" w:rsidRPr="00F931E7">
        <w:rPr>
          <w:rFonts w:eastAsia="Calibri" w:cstheme="minorHAnsi"/>
          <w:sz w:val="20"/>
          <w:szCs w:val="20"/>
          <w:lang w:val="en-US"/>
        </w:rPr>
        <w:fldChar w:fldCharType="end"/>
      </w:r>
      <w:r w:rsidRPr="00F931E7">
        <w:rPr>
          <w:rFonts w:eastAsia="Calibri" w:cstheme="minorHAnsi"/>
          <w:sz w:val="20"/>
          <w:szCs w:val="20"/>
          <w:lang w:val="en-US"/>
        </w:rPr>
        <w:t xml:space="preserve">. </w:t>
      </w:r>
    </w:p>
    <w:p w:rsidR="00D308E2" w:rsidRPr="00AE337C" w:rsidRDefault="00D308E2" w:rsidP="00AE337C">
      <w:pPr>
        <w:spacing w:after="120" w:line="240" w:lineRule="auto"/>
        <w:ind w:firstLine="567"/>
        <w:jc w:val="both"/>
        <w:rPr>
          <w:rFonts w:eastAsia="Calibri" w:cstheme="minorHAnsi"/>
          <w:lang w:val="en-US"/>
        </w:rPr>
      </w:pPr>
      <w:proofErr w:type="spellStart"/>
      <w:r w:rsidRPr="00AE337C">
        <w:rPr>
          <w:rFonts w:eastAsia="Calibri" w:cstheme="minorHAnsi"/>
          <w:lang w:val="en-US"/>
        </w:rPr>
        <w:t>Nursi</w:t>
      </w:r>
      <w:proofErr w:type="spellEnd"/>
      <w:r w:rsidRPr="00AE337C">
        <w:rPr>
          <w:rFonts w:eastAsia="Calibri" w:cstheme="minorHAnsi"/>
          <w:lang w:val="en-US"/>
        </w:rPr>
        <w:t xml:space="preserve"> </w:t>
      </w:r>
      <w:proofErr w:type="spellStart"/>
      <w:r w:rsidRPr="00AE337C">
        <w:rPr>
          <w:rFonts w:eastAsia="Calibri" w:cstheme="minorHAnsi"/>
          <w:lang w:val="en-US"/>
        </w:rPr>
        <w:t>remindshis</w:t>
      </w:r>
      <w:proofErr w:type="spellEnd"/>
      <w:r w:rsidRPr="00AE337C">
        <w:rPr>
          <w:rFonts w:eastAsia="Calibri" w:cstheme="minorHAnsi"/>
          <w:lang w:val="en-US"/>
        </w:rPr>
        <w:t xml:space="preserve"> audience again to implement the positive actions by upholding truthfulness, hope, courage, love, solidarity and sincerity in the closing part of the </w:t>
      </w:r>
      <w:r w:rsidRPr="00AE337C">
        <w:rPr>
          <w:rFonts w:eastAsia="Calibri" w:cstheme="minorHAnsi"/>
          <w:i/>
          <w:lang w:val="en-US"/>
        </w:rPr>
        <w:t>Sermon</w:t>
      </w:r>
      <w:r w:rsidRPr="00AE337C">
        <w:rPr>
          <w:rFonts w:eastAsia="Calibri" w:cstheme="minorHAnsi"/>
          <w:lang w:val="en-US"/>
        </w:rPr>
        <w:t xml:space="preserve">. His call to his audience to implement the ‘positive action’ based on sincerity </w:t>
      </w:r>
      <w:proofErr w:type="spellStart"/>
      <w:r w:rsidRPr="00AE337C">
        <w:rPr>
          <w:rFonts w:eastAsia="Calibri" w:cstheme="minorHAnsi"/>
          <w:lang w:val="en-US"/>
        </w:rPr>
        <w:t>isstated</w:t>
      </w:r>
      <w:proofErr w:type="spellEnd"/>
      <w:r w:rsidRPr="00AE337C">
        <w:rPr>
          <w:rFonts w:eastAsia="Calibri" w:cstheme="minorHAnsi"/>
          <w:lang w:val="en-US"/>
        </w:rPr>
        <w:t xml:space="preserve"> in his Treatise of Sincerity as follows: perform the sacred duty of serving belief and the Quran; work with all the strength to gain, </w:t>
      </w:r>
      <w:proofErr w:type="spellStart"/>
      <w:r w:rsidRPr="00AE337C">
        <w:rPr>
          <w:rFonts w:eastAsia="Calibri" w:cstheme="minorHAnsi"/>
          <w:lang w:val="en-US"/>
        </w:rPr>
        <w:t>instil</w:t>
      </w:r>
      <w:proofErr w:type="spellEnd"/>
      <w:r w:rsidRPr="00AE337C">
        <w:rPr>
          <w:rFonts w:eastAsia="Calibri" w:cstheme="minorHAnsi"/>
          <w:lang w:val="en-US"/>
        </w:rPr>
        <w:t xml:space="preserve"> and preserve sincerity and avoid things that harm sincerity. </w:t>
      </w:r>
    </w:p>
    <w:p w:rsidR="00D308E2" w:rsidRPr="00AE337C" w:rsidRDefault="00D308E2" w:rsidP="00AE337C">
      <w:pPr>
        <w:spacing w:after="120" w:line="240" w:lineRule="auto"/>
        <w:ind w:firstLine="567"/>
        <w:jc w:val="both"/>
        <w:rPr>
          <w:rFonts w:eastAsia="Times New Roman" w:cstheme="minorHAnsi"/>
          <w:color w:val="000000"/>
          <w:lang w:val="en-US" w:eastAsia="en-GB"/>
        </w:rPr>
      </w:pPr>
      <w:r w:rsidRPr="00AE337C">
        <w:rPr>
          <w:rFonts w:eastAsia="Times New Roman" w:cstheme="minorHAnsi"/>
          <w:color w:val="000000"/>
          <w:lang w:val="en-US" w:eastAsia="en-GB"/>
        </w:rPr>
        <w:t>The fitting responses for sincerity are “</w:t>
      </w:r>
      <w:r w:rsidRPr="00AE337C">
        <w:rPr>
          <w:rFonts w:cstheme="minorHAnsi"/>
          <w:lang w:val="en-US"/>
        </w:rPr>
        <w:t>progress,” “support,” “assistance,” “benefits,” “freedom” and “secure.”</w:t>
      </w:r>
      <w:r w:rsidRPr="00AE337C">
        <w:rPr>
          <w:rFonts w:eastAsia="Times New Roman" w:cstheme="minorHAnsi"/>
          <w:color w:val="000000"/>
          <w:lang w:val="en-US" w:eastAsia="en-GB"/>
        </w:rPr>
        <w:t xml:space="preserve"> </w:t>
      </w:r>
      <w:proofErr w:type="spellStart"/>
      <w:r w:rsidRPr="00AE337C">
        <w:rPr>
          <w:rFonts w:eastAsia="Times New Roman" w:cstheme="minorHAnsi"/>
          <w:color w:val="000000"/>
          <w:lang w:val="en-US" w:eastAsia="en-GB"/>
        </w:rPr>
        <w:t>Nursi</w:t>
      </w:r>
      <w:proofErr w:type="spellEnd"/>
      <w:r w:rsidRPr="00AE337C">
        <w:rPr>
          <w:rFonts w:eastAsia="Times New Roman" w:cstheme="minorHAnsi"/>
          <w:color w:val="000000"/>
          <w:lang w:val="en-US" w:eastAsia="en-GB"/>
        </w:rPr>
        <w:t xml:space="preserve"> asserts that “the </w:t>
      </w:r>
      <w:proofErr w:type="spellStart"/>
      <w:r w:rsidRPr="00AE337C">
        <w:rPr>
          <w:rFonts w:eastAsia="Times New Roman" w:cstheme="minorHAnsi"/>
          <w:color w:val="000000"/>
          <w:spacing w:val="7"/>
          <w:lang w:val="en-US" w:eastAsia="en-GB"/>
        </w:rPr>
        <w:t>freedom</w:t>
      </w:r>
      <w:r w:rsidRPr="00AE337C">
        <w:rPr>
          <w:rFonts w:eastAsia="Times New Roman" w:cstheme="minorHAnsi"/>
          <w:color w:val="000000"/>
          <w:spacing w:val="1"/>
          <w:lang w:val="en-US" w:eastAsia="en-GB"/>
        </w:rPr>
        <w:t>based</w:t>
      </w:r>
      <w:proofErr w:type="spellEnd"/>
      <w:r w:rsidRPr="00AE337C">
        <w:rPr>
          <w:rFonts w:eastAsia="Times New Roman" w:cstheme="minorHAnsi"/>
          <w:color w:val="000000"/>
          <w:spacing w:val="1"/>
          <w:lang w:val="en-US" w:eastAsia="en-GB"/>
        </w:rPr>
        <w:t xml:space="preserve"> on </w:t>
      </w:r>
      <w:proofErr w:type="spellStart"/>
      <w:proofErr w:type="gramStart"/>
      <w:r w:rsidRPr="00AE337C">
        <w:rPr>
          <w:rFonts w:eastAsia="Times New Roman" w:cstheme="minorHAnsi"/>
          <w:color w:val="000000"/>
          <w:spacing w:val="1"/>
          <w:lang w:val="en-US" w:eastAsia="en-GB"/>
        </w:rPr>
        <w:t>the</w:t>
      </w:r>
      <w:r w:rsidRPr="00AE337C">
        <w:rPr>
          <w:rFonts w:eastAsia="Times New Roman" w:cstheme="minorHAnsi"/>
          <w:color w:val="000000"/>
          <w:spacing w:val="-3"/>
          <w:lang w:val="en-US" w:eastAsia="en-GB"/>
        </w:rPr>
        <w:t>S</w:t>
      </w:r>
      <w:r w:rsidRPr="00AE337C">
        <w:rPr>
          <w:rFonts w:eastAsia="Times New Roman" w:cstheme="minorHAnsi"/>
          <w:color w:val="000000"/>
          <w:spacing w:val="1"/>
          <w:lang w:val="en-US" w:eastAsia="en-GB"/>
        </w:rPr>
        <w:t>h</w:t>
      </w:r>
      <w:r w:rsidRPr="00AE337C">
        <w:rPr>
          <w:rFonts w:eastAsia="Times New Roman" w:cstheme="minorHAnsi"/>
          <w:color w:val="000000"/>
          <w:lang w:val="en-US" w:eastAsia="en-GB"/>
        </w:rPr>
        <w:t>a</w:t>
      </w:r>
      <w:r w:rsidRPr="00AE337C">
        <w:rPr>
          <w:rFonts w:eastAsia="Times New Roman" w:cstheme="minorHAnsi"/>
          <w:color w:val="000000"/>
          <w:spacing w:val="-1"/>
          <w:lang w:val="en-US" w:eastAsia="en-GB"/>
        </w:rPr>
        <w:t>r</w:t>
      </w:r>
      <w:r w:rsidRPr="00AE337C">
        <w:rPr>
          <w:rFonts w:eastAsia="Times New Roman" w:cstheme="minorHAnsi"/>
          <w:color w:val="000000"/>
          <w:spacing w:val="2"/>
          <w:lang w:val="en-US" w:eastAsia="en-GB"/>
        </w:rPr>
        <w:t>i</w:t>
      </w:r>
      <w:r w:rsidRPr="00AE337C">
        <w:rPr>
          <w:rFonts w:eastAsia="Times New Roman" w:cstheme="minorHAnsi"/>
          <w:color w:val="000000"/>
          <w:spacing w:val="-1"/>
          <w:lang w:val="en-US" w:eastAsia="en-GB"/>
        </w:rPr>
        <w:t>‘</w:t>
      </w:r>
      <w:proofErr w:type="gramEnd"/>
      <w:r w:rsidRPr="00AE337C">
        <w:rPr>
          <w:rFonts w:eastAsia="Times New Roman" w:cstheme="minorHAnsi"/>
          <w:color w:val="000000"/>
          <w:lang w:val="en-US" w:eastAsia="en-GB"/>
        </w:rPr>
        <w:t>a”</w:t>
      </w:r>
      <w:r w:rsidRPr="00AE337C">
        <w:rPr>
          <w:rFonts w:eastAsia="Times New Roman" w:cstheme="minorHAnsi"/>
          <w:color w:val="000000"/>
          <w:spacing w:val="2"/>
          <w:lang w:val="en-US" w:eastAsia="en-GB"/>
        </w:rPr>
        <w:t>is</w:t>
      </w:r>
      <w:proofErr w:type="spellEnd"/>
      <w:r w:rsidRPr="00AE337C">
        <w:rPr>
          <w:rFonts w:eastAsia="Times New Roman" w:cstheme="minorHAnsi"/>
          <w:color w:val="000000"/>
          <w:spacing w:val="2"/>
          <w:lang w:val="en-US" w:eastAsia="en-GB"/>
        </w:rPr>
        <w:t xml:space="preserve"> displayed through God’s merciful and compassionate attributes. This freedom has the </w:t>
      </w:r>
      <w:proofErr w:type="spellStart"/>
      <w:r w:rsidRPr="00AE337C">
        <w:rPr>
          <w:rFonts w:eastAsia="Times New Roman" w:cstheme="minorHAnsi"/>
          <w:color w:val="000000"/>
          <w:lang w:val="en-US" w:eastAsia="en-GB"/>
        </w:rPr>
        <w:t>c</w:t>
      </w:r>
      <w:r w:rsidRPr="00AE337C">
        <w:rPr>
          <w:rFonts w:eastAsia="Times New Roman" w:cstheme="minorHAnsi"/>
          <w:color w:val="000000"/>
          <w:spacing w:val="3"/>
          <w:lang w:val="en-US" w:eastAsia="en-GB"/>
        </w:rPr>
        <w:t>h</w:t>
      </w:r>
      <w:r w:rsidRPr="00AE337C">
        <w:rPr>
          <w:rFonts w:eastAsia="Times New Roman" w:cstheme="minorHAnsi"/>
          <w:color w:val="000000"/>
          <w:spacing w:val="-3"/>
          <w:lang w:val="en-US" w:eastAsia="en-GB"/>
        </w:rPr>
        <w:t>a</w:t>
      </w:r>
      <w:r w:rsidRPr="00AE337C">
        <w:rPr>
          <w:rFonts w:eastAsia="Times New Roman" w:cstheme="minorHAnsi"/>
          <w:color w:val="000000"/>
          <w:spacing w:val="1"/>
          <w:lang w:val="en-US" w:eastAsia="en-GB"/>
        </w:rPr>
        <w:t>r</w:t>
      </w:r>
      <w:r w:rsidRPr="00AE337C">
        <w:rPr>
          <w:rFonts w:eastAsia="Times New Roman" w:cstheme="minorHAnsi"/>
          <w:color w:val="000000"/>
          <w:spacing w:val="-3"/>
          <w:lang w:val="en-US" w:eastAsia="en-GB"/>
        </w:rPr>
        <w:t>a</w:t>
      </w:r>
      <w:r w:rsidRPr="00AE337C">
        <w:rPr>
          <w:rFonts w:eastAsia="Times New Roman" w:cstheme="minorHAnsi"/>
          <w:color w:val="000000"/>
          <w:lang w:val="en-US" w:eastAsia="en-GB"/>
        </w:rPr>
        <w:t>c</w:t>
      </w:r>
      <w:r w:rsidRPr="00AE337C">
        <w:rPr>
          <w:rFonts w:eastAsia="Times New Roman" w:cstheme="minorHAnsi"/>
          <w:color w:val="000000"/>
          <w:spacing w:val="2"/>
          <w:lang w:val="en-US" w:eastAsia="en-GB"/>
        </w:rPr>
        <w:t>t</w:t>
      </w:r>
      <w:r w:rsidRPr="00AE337C">
        <w:rPr>
          <w:rFonts w:eastAsia="Times New Roman" w:cstheme="minorHAnsi"/>
          <w:color w:val="000000"/>
          <w:lang w:val="en-US" w:eastAsia="en-GB"/>
        </w:rPr>
        <w:t>e</w:t>
      </w:r>
      <w:r w:rsidRPr="00AE337C">
        <w:rPr>
          <w:rFonts w:eastAsia="Times New Roman" w:cstheme="minorHAnsi"/>
          <w:color w:val="000000"/>
          <w:spacing w:val="-1"/>
          <w:lang w:val="en-US" w:eastAsia="en-GB"/>
        </w:rPr>
        <w:t>r</w:t>
      </w:r>
      <w:r w:rsidRPr="00AE337C">
        <w:rPr>
          <w:rFonts w:eastAsia="Times New Roman" w:cstheme="minorHAnsi"/>
          <w:color w:val="000000"/>
          <w:spacing w:val="2"/>
          <w:lang w:val="en-US" w:eastAsia="en-GB"/>
        </w:rPr>
        <w:t>i</w:t>
      </w:r>
      <w:r w:rsidRPr="00AE337C">
        <w:rPr>
          <w:rFonts w:eastAsia="Times New Roman" w:cstheme="minorHAnsi"/>
          <w:color w:val="000000"/>
          <w:lang w:val="en-US" w:eastAsia="en-GB"/>
        </w:rPr>
        <w:t>stic</w:t>
      </w:r>
      <w:r w:rsidRPr="00AE337C">
        <w:rPr>
          <w:rFonts w:eastAsia="Times New Roman" w:cstheme="minorHAnsi"/>
          <w:color w:val="000000"/>
          <w:spacing w:val="1"/>
          <w:lang w:val="en-US" w:eastAsia="en-GB"/>
        </w:rPr>
        <w:t>o</w:t>
      </w:r>
      <w:r w:rsidRPr="00AE337C">
        <w:rPr>
          <w:rFonts w:eastAsia="Times New Roman" w:cstheme="minorHAnsi"/>
          <w:color w:val="000000"/>
          <w:lang w:val="en-US" w:eastAsia="en-GB"/>
        </w:rPr>
        <w:t>f</w:t>
      </w:r>
      <w:r w:rsidRPr="00AE337C">
        <w:rPr>
          <w:rFonts w:eastAsia="Times New Roman" w:cstheme="minorHAnsi"/>
          <w:color w:val="000000"/>
          <w:spacing w:val="1"/>
          <w:w w:val="101"/>
          <w:lang w:val="en-US" w:eastAsia="en-GB"/>
        </w:rPr>
        <w:t>b</w:t>
      </w:r>
      <w:r w:rsidRPr="00AE337C">
        <w:rPr>
          <w:rFonts w:eastAsia="Times New Roman" w:cstheme="minorHAnsi"/>
          <w:color w:val="000000"/>
          <w:w w:val="101"/>
          <w:lang w:val="en-US" w:eastAsia="en-GB"/>
        </w:rPr>
        <w:t>eli</w:t>
      </w:r>
      <w:r w:rsidRPr="00AE337C">
        <w:rPr>
          <w:rFonts w:eastAsia="Times New Roman" w:cstheme="minorHAnsi"/>
          <w:color w:val="000000"/>
          <w:spacing w:val="2"/>
          <w:w w:val="101"/>
          <w:lang w:val="en-US" w:eastAsia="en-GB"/>
        </w:rPr>
        <w:t>e</w:t>
      </w:r>
      <w:r w:rsidRPr="00AE337C">
        <w:rPr>
          <w:rFonts w:eastAsia="Times New Roman" w:cstheme="minorHAnsi"/>
          <w:color w:val="000000"/>
          <w:spacing w:val="-1"/>
          <w:w w:val="101"/>
          <w:lang w:val="en-US" w:eastAsia="en-GB"/>
        </w:rPr>
        <w:t>f</w:t>
      </w:r>
      <w:proofErr w:type="spellEnd"/>
      <w:r w:rsidRPr="00AE337C">
        <w:rPr>
          <w:rFonts w:eastAsia="Times New Roman" w:cstheme="minorHAnsi"/>
          <w:color w:val="000000"/>
          <w:spacing w:val="-1"/>
          <w:w w:val="101"/>
          <w:lang w:val="en-US" w:eastAsia="en-GB"/>
        </w:rPr>
        <w:t xml:space="preserve"> which is a spiritual manifestation </w:t>
      </w:r>
      <w:r w:rsidRPr="00AE337C">
        <w:rPr>
          <w:rFonts w:eastAsia="Times New Roman" w:cstheme="minorHAnsi"/>
          <w:color w:val="000000"/>
          <w:w w:val="101"/>
          <w:lang w:val="en-US" w:eastAsia="en-GB"/>
        </w:rPr>
        <w:t xml:space="preserve">based on trust </w:t>
      </w:r>
      <w:r w:rsidRPr="00AE337C">
        <w:rPr>
          <w:rFonts w:eastAsia="Times New Roman" w:cstheme="minorHAnsi"/>
          <w:color w:val="000000"/>
          <w:w w:val="101"/>
          <w:lang w:val="en-US" w:eastAsia="en-GB"/>
        </w:rPr>
        <w:lastRenderedPageBreak/>
        <w:t xml:space="preserve">in God and thus </w:t>
      </w:r>
      <w:r w:rsidRPr="00AE337C">
        <w:rPr>
          <w:rFonts w:eastAsia="Times New Roman" w:cstheme="minorHAnsi"/>
          <w:color w:val="000000"/>
          <w:lang w:val="en-US" w:eastAsia="en-GB"/>
        </w:rPr>
        <w:t xml:space="preserve">becomes a fitting response because it has the strength and capability </w:t>
      </w:r>
      <w:proofErr w:type="spellStart"/>
      <w:r w:rsidRPr="00AE337C">
        <w:rPr>
          <w:rFonts w:eastAsia="Times New Roman" w:cstheme="minorHAnsi"/>
          <w:color w:val="000000"/>
          <w:lang w:val="en-US" w:eastAsia="en-GB"/>
        </w:rPr>
        <w:t>tosolve</w:t>
      </w:r>
      <w:proofErr w:type="spellEnd"/>
      <w:r w:rsidRPr="00AE337C">
        <w:rPr>
          <w:rFonts w:eastAsia="Times New Roman" w:cstheme="minorHAnsi"/>
          <w:color w:val="000000"/>
          <w:lang w:val="en-US" w:eastAsia="en-GB"/>
        </w:rPr>
        <w:t xml:space="preserve"> the problem. </w:t>
      </w:r>
      <w:r w:rsidRPr="00AE337C">
        <w:rPr>
          <w:rFonts w:cstheme="minorHAnsi"/>
          <w:color w:val="000000"/>
          <w:lang w:val="en-US"/>
        </w:rPr>
        <w:t xml:space="preserve">The adjective in the sentence, “Thus, three men between whom there is true solidarity may </w:t>
      </w:r>
      <w:r w:rsidRPr="00AE337C">
        <w:rPr>
          <w:rFonts w:cstheme="minorHAnsi"/>
          <w:i/>
          <w:color w:val="000000"/>
          <w:lang w:val="en-US"/>
        </w:rPr>
        <w:t xml:space="preserve">benefit </w:t>
      </w:r>
      <w:r w:rsidRPr="00AE337C">
        <w:rPr>
          <w:rFonts w:cstheme="minorHAnsi"/>
          <w:color w:val="000000"/>
          <w:lang w:val="en-US"/>
        </w:rPr>
        <w:t xml:space="preserve">the nation as much as a hundred men” (p. 57) signifies the reward from mutual consultation from the implied message of the </w:t>
      </w:r>
      <w:r w:rsidRPr="00AE337C">
        <w:rPr>
          <w:rFonts w:eastAsia="Times New Roman" w:cstheme="minorHAnsi"/>
          <w:color w:val="000000"/>
          <w:lang w:val="en-US" w:eastAsia="en-GB"/>
        </w:rPr>
        <w:t>“three ‘</w:t>
      </w:r>
      <w:proofErr w:type="spellStart"/>
      <w:r w:rsidRPr="00AE337C">
        <w:rPr>
          <w:rFonts w:eastAsia="Times New Roman" w:cstheme="minorHAnsi"/>
          <w:color w:val="000000"/>
          <w:lang w:val="en-US" w:eastAsia="en-GB"/>
        </w:rPr>
        <w:t>alifs</w:t>
      </w:r>
      <w:proofErr w:type="spellEnd"/>
      <w:r w:rsidRPr="00AE337C">
        <w:rPr>
          <w:rFonts w:eastAsia="Times New Roman" w:cstheme="minorHAnsi"/>
          <w:color w:val="000000"/>
          <w:lang w:val="en-US" w:eastAsia="en-GB"/>
        </w:rPr>
        <w:t>’ become one hundred and eleven” The sentence, “</w:t>
      </w:r>
      <w:r w:rsidRPr="00AE337C">
        <w:rPr>
          <w:rFonts w:cstheme="minorHAnsi"/>
          <w:color w:val="000000"/>
          <w:lang w:val="en-US"/>
        </w:rPr>
        <w:t xml:space="preserve">In the face of those endless enemies and innumerable needs, man can continue his personal life </w:t>
      </w:r>
      <w:proofErr w:type="spellStart"/>
      <w:r w:rsidRPr="00AE337C">
        <w:rPr>
          <w:rFonts w:cstheme="minorHAnsi"/>
          <w:color w:val="000000"/>
          <w:lang w:val="en-US"/>
        </w:rPr>
        <w:t>onlythrough</w:t>
      </w:r>
      <w:proofErr w:type="spellEnd"/>
      <w:r w:rsidRPr="00AE337C">
        <w:rPr>
          <w:rFonts w:cstheme="minorHAnsi"/>
          <w:color w:val="000000"/>
          <w:lang w:val="en-US"/>
        </w:rPr>
        <w:t xml:space="preserve"> the support and assistance proceeding from belief”</w:t>
      </w:r>
      <w:r w:rsidRPr="00AE337C">
        <w:rPr>
          <w:rFonts w:eastAsia="Times New Roman" w:cstheme="minorHAnsi"/>
          <w:color w:val="000000"/>
          <w:lang w:val="en-US" w:eastAsia="en-GB"/>
        </w:rPr>
        <w:t xml:space="preserve"> ( p. 58) indicates that the sole way for man to continue his personal life is by getting “support” and “assistance” by living in a community through the virtue of sincerity which is based on the truths of belief. The verb “support” and the noun “assistance</w:t>
      </w:r>
      <w:r w:rsidRPr="00AE337C">
        <w:rPr>
          <w:rFonts w:eastAsia="Times New Roman" w:cstheme="minorHAnsi"/>
          <w:i/>
          <w:color w:val="000000"/>
          <w:lang w:val="en-US" w:eastAsia="en-GB"/>
        </w:rPr>
        <w:t>”</w:t>
      </w:r>
      <w:r w:rsidRPr="00AE337C">
        <w:rPr>
          <w:rFonts w:eastAsia="Times New Roman" w:cstheme="minorHAnsi"/>
          <w:color w:val="000000"/>
          <w:lang w:val="en-US" w:eastAsia="en-GB"/>
        </w:rPr>
        <w:t xml:space="preserve"> signify the aid they receive from the Muslim community.  They can strengthen the spiritual sustenance through mutual support and be free from being confined in the situation of deficiency in moral, spiritual and material matters. Thus, sincerity is able to discard the trait of individualism with the trait of collectivism. Eventually, the adjective in the sentence “</w:t>
      </w:r>
      <w:r w:rsidRPr="00AE337C">
        <w:rPr>
          <w:rFonts w:cstheme="minorHAnsi"/>
          <w:color w:val="000000"/>
          <w:lang w:val="en-US"/>
        </w:rPr>
        <w:t xml:space="preserve">It is only thus that he can halt his enemies and open up a way to </w:t>
      </w:r>
      <w:proofErr w:type="spellStart"/>
      <w:r w:rsidRPr="00AE337C">
        <w:rPr>
          <w:rFonts w:cstheme="minorHAnsi"/>
          <w:i/>
          <w:color w:val="000000"/>
          <w:lang w:val="en-US"/>
        </w:rPr>
        <w:t>secure</w:t>
      </w:r>
      <w:r w:rsidRPr="00AE337C">
        <w:rPr>
          <w:rFonts w:cstheme="minorHAnsi"/>
          <w:color w:val="000000"/>
          <w:lang w:val="en-US"/>
        </w:rPr>
        <w:t>his</w:t>
      </w:r>
      <w:proofErr w:type="spellEnd"/>
      <w:r w:rsidRPr="00AE337C">
        <w:rPr>
          <w:rFonts w:cstheme="minorHAnsi"/>
          <w:color w:val="000000"/>
          <w:lang w:val="en-US"/>
        </w:rPr>
        <w:t xml:space="preserve"> needs” signifies being free </w:t>
      </w:r>
      <w:r w:rsidRPr="00AE337C">
        <w:rPr>
          <w:rFonts w:eastAsia="Times New Roman" w:cstheme="minorHAnsi"/>
          <w:color w:val="000000"/>
          <w:lang w:val="en-US" w:eastAsia="en-GB"/>
        </w:rPr>
        <w:t>from despair and hopelessness, deceit, distress, enmity, disunity and individualism. Thus, the six ‘Words’ are the solutions in the form of the spiritual sustenance that enable man to access the way to freedom based on belief and recover from the six “dire spiritual sicknesses.”</w:t>
      </w:r>
    </w:p>
    <w:p w:rsidR="00DC2710" w:rsidRPr="00AE337C" w:rsidRDefault="00D308E2" w:rsidP="00AE337C">
      <w:pPr>
        <w:spacing w:after="120" w:line="240" w:lineRule="auto"/>
        <w:ind w:firstLine="567"/>
        <w:jc w:val="both"/>
        <w:rPr>
          <w:rFonts w:eastAsia="Times New Roman" w:cstheme="minorHAnsi"/>
          <w:lang w:val="en-US" w:eastAsia="en-GB"/>
        </w:rPr>
      </w:pPr>
      <w:proofErr w:type="spellStart"/>
      <w:r w:rsidRPr="00AE337C">
        <w:rPr>
          <w:rFonts w:eastAsia="Calibri" w:cstheme="minorHAnsi"/>
          <w:color w:val="231F20"/>
          <w:lang w:val="en-US"/>
        </w:rPr>
        <w:t>Nursi</w:t>
      </w:r>
      <w:proofErr w:type="spellEnd"/>
      <w:r w:rsidRPr="00AE337C">
        <w:rPr>
          <w:rFonts w:eastAsia="Calibri" w:cstheme="minorHAnsi"/>
          <w:color w:val="231F20"/>
          <w:lang w:val="en-US"/>
        </w:rPr>
        <w:t xml:space="preserve"> advises his students to attain real sincerity by adhering to ‘positive</w:t>
      </w:r>
      <w:r w:rsidR="00DC2710" w:rsidRPr="00AE337C">
        <w:rPr>
          <w:rFonts w:eastAsia="Calibri" w:cstheme="minorHAnsi"/>
          <w:color w:val="231F20"/>
          <w:lang w:val="en-US"/>
        </w:rPr>
        <w:t xml:space="preserve"> action’ and restraining </w:t>
      </w:r>
      <w:r w:rsidRPr="00AE337C">
        <w:rPr>
          <w:rFonts w:eastAsia="Calibri" w:cstheme="minorHAnsi"/>
          <w:color w:val="231F20"/>
          <w:lang w:val="en-US"/>
        </w:rPr>
        <w:t xml:space="preserve">from egoistic tendencies which cause the </w:t>
      </w:r>
      <w:proofErr w:type="spellStart"/>
      <w:r w:rsidRPr="00AE337C">
        <w:rPr>
          <w:rFonts w:eastAsia="Calibri" w:cstheme="minorHAnsi"/>
          <w:color w:val="231F20"/>
          <w:lang w:val="en-US"/>
        </w:rPr>
        <w:t>self-centredness</w:t>
      </w:r>
      <w:proofErr w:type="spellEnd"/>
      <w:r w:rsidRPr="00AE337C">
        <w:rPr>
          <w:rFonts w:eastAsia="Calibri" w:cstheme="minorHAnsi"/>
          <w:color w:val="231F20"/>
          <w:lang w:val="en-US"/>
        </w:rPr>
        <w:t xml:space="preserve"> trait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"Nursi", "given" : "Bediuzzaman Said", "non-dropping-particle" : "", "parse-names" : false, "suffix" : "" } ], "id" : "ITEM-1", "issued" : { "date-parts" : [ [ "2015" ] ] }, "title" : "Denizli ve Emirda\u011f L\u00e2hikalar\u0131, (Mektup s\u0131ras\u0131 26)", "type" : "book" }, "uris" : [ "http://www.mendeley.com/documents/?uuid=95c0ed81-5f8e-4c1e-acf2-cf36c022ae36" ] } ], "mendeley" : { "formattedCitation" : "(Nursi, 2015a)", "plainTextFormattedCitation" : "(Nursi, 2015a)", "previouslyFormattedCitation" : "(Nursi, 2015a)"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(Nursi, 2015a)</w:t>
      </w:r>
      <w:r w:rsidR="00A02014" w:rsidRPr="00AE337C">
        <w:rPr>
          <w:rFonts w:eastAsia="Calibri" w:cstheme="minorHAnsi"/>
          <w:lang w:val="en-US"/>
        </w:rPr>
        <w:fldChar w:fldCharType="end"/>
      </w:r>
      <w:r w:rsidRPr="00AE337C">
        <w:rPr>
          <w:rFonts w:eastAsia="Calibri" w:cstheme="minorHAnsi"/>
          <w:lang w:val="en-US"/>
        </w:rPr>
        <w:t xml:space="preserve">. </w:t>
      </w:r>
      <w:r w:rsidRPr="00AE337C">
        <w:rPr>
          <w:rFonts w:eastAsia="Times New Roman" w:cstheme="minorHAnsi"/>
          <w:lang w:val="en-US" w:eastAsia="en-GB"/>
        </w:rPr>
        <w:t xml:space="preserve">A Muslim’s struggling for self-interest is negative act while working solely for God’s pleasure is positive act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"Basar", "given" : "Al\u00e2addin", "non-dropping-particle" : "", "parse-names" : false, "suffix" : "" } ], "container-title" : "International Bedi\u00fczzaman Symposium Papers in Turkey (English)", "id" : "ITEM-1", "issued" : { "date-parts" : [ [ "1995" ] ] }, "title" : "A Lifelong Principle: Positive Action", "type" : "article-journal" }, "uris" : [ "http://www.mendeley.com/documents/?uuid=4b7acae2-ac32-4483-a6ba-6e281f1d044d" ] } ], "mendeley" : { "formattedCitation" : "(Basar, 1995)", "plainTextFormattedCitation" : "(Basar, 1995)", "previouslyFormattedCitation" : "(Basar, 1995)"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(Basar, 1995)</w:t>
      </w:r>
      <w:r w:rsidR="00A02014" w:rsidRPr="00AE337C">
        <w:rPr>
          <w:rFonts w:eastAsia="Times New Roman" w:cstheme="minorHAnsi"/>
          <w:lang w:val="en-US" w:eastAsia="en-GB"/>
        </w:rPr>
        <w:fldChar w:fldCharType="end"/>
      </w:r>
      <w:r w:rsidRPr="00AE337C">
        <w:rPr>
          <w:rFonts w:eastAsia="Times New Roman" w:cstheme="minorHAnsi"/>
          <w:lang w:val="en-US" w:eastAsia="en-GB"/>
        </w:rPr>
        <w:t>.</w:t>
      </w:r>
      <w:proofErr w:type="spellStart"/>
      <w:r w:rsidRPr="00AE337C">
        <w:rPr>
          <w:rFonts w:eastAsia="Calibri" w:cstheme="minorHAnsi"/>
          <w:iCs/>
          <w:lang w:val="en-US"/>
        </w:rPr>
        <w:t>Nursi</w:t>
      </w:r>
      <w:proofErr w:type="spellEnd"/>
      <w:r w:rsidRPr="00AE337C">
        <w:rPr>
          <w:rFonts w:eastAsia="Calibri" w:cstheme="minorHAnsi"/>
          <w:iCs/>
          <w:lang w:val="en-US"/>
        </w:rPr>
        <w:t xml:space="preserve"> asserts abandoning the causes of individualism and s</w:t>
      </w:r>
      <w:r w:rsidRPr="00AE337C">
        <w:rPr>
          <w:rFonts w:eastAsia="Calibri" w:cstheme="minorHAnsi"/>
          <w:lang w:val="en-US"/>
        </w:rPr>
        <w:t xml:space="preserve">elf-interest because there should be mutual support solely for God as a means to respect Him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"Nursi", "given" : "Bediuzzaman Said", "non-dropping-particle" : "", "parse-names" : false, "suffix" : "" } ], "id" : "ITEM-1", "issued" : { "date-parts" : [ [ "2013" ] ] }, "publisher" : "RNK Ne\u015friyat", "title" : "Lem\u2019alar", "type" : "book" }, "uris" : [ "http://www.mendeley.com/documents/?uuid=8e81bfb0-93ff-466d-b38a-0e2d40832066" ] } ], "mendeley" : { "formattedCitation" : "(Nursi, 2013a)", "plainTextFormattedCitation" : "(Nursi, 2013a)", "previouslyFormattedCitation" : "(Nursi, 2013a)"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(Nursi, 2013a)</w:t>
      </w:r>
      <w:r w:rsidR="00A02014" w:rsidRPr="00AE337C">
        <w:rPr>
          <w:rFonts w:eastAsia="Calibri" w:cstheme="minorHAnsi"/>
          <w:lang w:val="en-US"/>
        </w:rPr>
        <w:fldChar w:fldCharType="end"/>
      </w:r>
      <w:r w:rsidRPr="00AE337C">
        <w:rPr>
          <w:rFonts w:eastAsia="Calibri" w:cstheme="minorHAnsi"/>
          <w:lang w:val="en-US"/>
        </w:rPr>
        <w:t>.</w:t>
      </w:r>
      <w:r w:rsidRPr="00AE337C">
        <w:rPr>
          <w:rFonts w:eastAsia="Times New Roman" w:cstheme="minorHAnsi"/>
          <w:lang w:val="en-US" w:eastAsia="en-GB"/>
        </w:rPr>
        <w:t xml:space="preserve"> Individualism affects relationship as it causes n</w:t>
      </w:r>
      <w:r w:rsidRPr="00AE337C">
        <w:rPr>
          <w:rFonts w:eastAsia="Calibri" w:cstheme="minorHAnsi"/>
          <w:iCs/>
          <w:lang w:val="en-US"/>
        </w:rPr>
        <w:t xml:space="preserve">egative effects and negative emotional responses </w:t>
      </w:r>
      <w:r w:rsidR="00A02014" w:rsidRPr="00AE337C">
        <w:rPr>
          <w:rFonts w:eastAsia="Calibri" w:cstheme="minorHAnsi"/>
          <w:iCs/>
          <w:lang w:val="en-US"/>
        </w:rPr>
        <w:fldChar w:fldCharType="begin" w:fldLock="1"/>
      </w:r>
      <w:r w:rsidRPr="00AE337C">
        <w:rPr>
          <w:rFonts w:eastAsia="Calibri" w:cstheme="minorHAnsi"/>
          <w:iCs/>
          <w:lang w:val="en-US"/>
        </w:rPr>
        <w:instrText>ADDIN CSL_CITATION { "citationItems" : [ { "id" : "ITEM-1", "itemData" : { "author" : [ { "dropping-particle" : "", "family" : "Rothwell", "given" : "J. Dan", "non-dropping-particle" : "", "parse-names" : false, "suffix" : "" } ], "id" : "ITEM-1", "issued" : { "date-parts" : [ [ "2010" ] ] }, "number-of-pages" : "65-84", "publisher" : "Oxford University Press", "publisher-place" : "New York", "title" : "In the Company of Others, An Introduction to Communication", "type" : "book" }, "uris" : [ "http://www.mendeley.com/documents/?uuid=f5802be1-7603-4ad2-9fff-93f5fb8c28b1" ] } ], "mendeley" : { "formattedCitation" : "(Rothwell, 2010)", "plainTextFormattedCitation" : "(Rothwell, 2010)", "previouslyFormattedCitation" : "(Rothwell, 2010)" }, "properties" : { "noteIndex" : 0 }, "schema" : "https://github.com/citation-style-language/schema/raw/master/csl-citation.json" }</w:instrText>
      </w:r>
      <w:r w:rsidR="00A02014" w:rsidRPr="00AE337C">
        <w:rPr>
          <w:rFonts w:eastAsia="Calibri" w:cstheme="minorHAnsi"/>
          <w:iCs/>
          <w:lang w:val="en-US"/>
        </w:rPr>
        <w:fldChar w:fldCharType="separate"/>
      </w:r>
      <w:r w:rsidRPr="00AE337C">
        <w:rPr>
          <w:rFonts w:eastAsia="Calibri" w:cstheme="minorHAnsi"/>
          <w:iCs/>
          <w:noProof/>
          <w:lang w:val="en-US"/>
        </w:rPr>
        <w:t>(Rothwell, 2010)</w:t>
      </w:r>
      <w:r w:rsidR="00A02014" w:rsidRPr="00AE337C">
        <w:rPr>
          <w:rFonts w:eastAsia="Calibri" w:cstheme="minorHAnsi"/>
          <w:iCs/>
          <w:lang w:val="en-US"/>
        </w:rPr>
        <w:fldChar w:fldCharType="end"/>
      </w:r>
      <w:r w:rsidRPr="00AE337C">
        <w:rPr>
          <w:rFonts w:eastAsia="Calibri" w:cstheme="minorHAnsi"/>
          <w:iCs/>
          <w:lang w:val="en-US"/>
        </w:rPr>
        <w:t>.</w:t>
      </w:r>
      <w:r w:rsidRPr="00AE337C">
        <w:rPr>
          <w:rFonts w:eastAsia="Times New Roman" w:cstheme="minorHAnsi"/>
          <w:lang w:val="en-US" w:eastAsia="en-GB"/>
        </w:rPr>
        <w:t>In European and American cultures, individualism has long been fostered for example in economic systems</w:t>
      </w:r>
      <w:r w:rsidR="00DC2710" w:rsidRPr="00AE337C">
        <w:rPr>
          <w:rFonts w:eastAsia="Times New Roman" w:cstheme="minorHAnsi"/>
          <w:lang w:val="en-US" w:eastAsia="en-GB"/>
        </w:rPr>
        <w:t xml:space="preserve">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"Uskul", "given" : "A. K", "non-dropping-particle" : "", "parse-names" : false, "suffix" : "" }, { "dropping-particle" : "", "family" : "Kitayama", "given" : "S", "non-dropping-particle" : "", "parse-names" : false, "suffix" : "" }, { "dropping-particle" : "", "family" : "Nisbett", "given" : "R. E", "non-dropping-particle" : "", "parse-names" : false, "suffix" : "" } ], "id" : "ITEM-1", "issued" : { "date-parts" : [ [ "2008" ] ] }, "publisher" : "Proc. Natl. Acad. Sci.", "publisher-place" : "USA", "title" : "Ecocultural basis of cognition: farmers and fishermen are more holistic than herders", "type" : "book" }, "uris" : [ "http://www.mendeley.com/documents/?uuid=87a636ca-18c1-406f-a81b-2ee77bbfba49" ] } ], "mendeley" : { "formattedCitation" : "(Uskul, Kitayama, &amp; Nisbett, 2008)", "manualFormatting" : "(Uskul et al.,  2008)", "plainTextFormattedCitation" : "(Uskul, Kitayama, &amp; Nisbett, 2008)", "previouslyFormattedCitation" : "(Uskul, Kitayama, &amp; Nisbett, 2008)"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(Uskul et al., 2008)</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There is a </w:t>
      </w:r>
      <w:proofErr w:type="spellStart"/>
      <w:r w:rsidRPr="00AE337C">
        <w:rPr>
          <w:rFonts w:eastAsia="Times New Roman" w:cstheme="minorHAnsi"/>
          <w:lang w:val="en-US" w:eastAsia="en-GB"/>
        </w:rPr>
        <w:t>beliefthat</w:t>
      </w:r>
      <w:proofErr w:type="spellEnd"/>
      <w:r w:rsidRPr="00AE337C">
        <w:rPr>
          <w:rFonts w:eastAsia="Times New Roman" w:cstheme="minorHAnsi"/>
          <w:lang w:val="en-US" w:eastAsia="en-GB"/>
        </w:rPr>
        <w:t xml:space="preserve"> individualism causes positive influences on individuals, such as a high social </w:t>
      </w:r>
      <w:proofErr w:type="spellStart"/>
      <w:r w:rsidRPr="00AE337C">
        <w:rPr>
          <w:rFonts w:eastAsia="Times New Roman" w:cstheme="minorHAnsi"/>
          <w:lang w:val="en-US" w:eastAsia="en-GB"/>
        </w:rPr>
        <w:t>mobility,social</w:t>
      </w:r>
      <w:proofErr w:type="spellEnd"/>
      <w:r w:rsidRPr="00AE337C">
        <w:rPr>
          <w:rFonts w:eastAsia="Times New Roman" w:cstheme="minorHAnsi"/>
          <w:lang w:val="en-US" w:eastAsia="en-GB"/>
        </w:rPr>
        <w:t xml:space="preserve"> interaction for choosing desirable people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"Schug", "given" : "J", "non-dropping-particle" : "", "parse-names" : false, "suffix" : "" }, { "dropping-particle" : "", "family" : "Yuki", "given" : "M", "non-dropping-particle" : "", "parse-names" : false, "suffix" : "" }, { "dropping-particle" : "", "family" : "Horikawa", "given" : "H", "non-dropping-particle" : "", "parse-names" : false, "suffix" : "" }, { "dropping-particle" : "", "family" : "Takemura", "given" : "K", "non-dropping-particle" : "", "parse-names" : false, "suffix" : "" } ], "container-title" : "Asian Journal of Social Psychology", "id" : "ITEM-1", "issued" : { "date-parts" : [ [ "2009" ] ] }, "page" : "95-103", "title" : "Similarity attraction and actually selecting similar others: how cross-societal differences in relational mobility affect interpersonal similarity in Japan and the United States", "type" : "article-journal", "volume" : "12" }, "uris" : [ "http://www.mendeley.com/documents/?uuid=7499d6dd-3985-4aeb-b936-022b2ab265f7" ] } ], "mendeley" : { "formattedCitation" : "(Schug, Yuki, Horikawa, &amp; Takemura, 2009)", "manualFormatting" : "(Schug et al., 2009)", "plainTextFormattedCitation" : "(Schug, Yuki, Horikawa, &amp; Takemura, 2009)", "previouslyFormattedCitation" : "(Schug, Yuki, Horikawa, &amp; Takemura, 2009)"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(Schug et al., 2009)</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It is because it  increases happiness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"Fischer", "given" : "R", "non-dropping-particle" : "", "parse-names" : false, "suffix" : "" }, { "dropping-particle" : "", "family" : "Boer", "given" : "D", "non-dropping-particle" : "", "parse-names" : false, "suffix" : "" } ], "container-title" : "J. Pers. Soc. Psychol.", "id" : "ITEM-1", "issued" : { "date-parts" : [ [ "2011" ] ] }, "page" : "164-184", "title" : "What is more important for national well-being: money or autonomy? A meta-analysis of well-being, burnout, and anxiety across 63 societies", "type" : "article-journal", "volume" : "101" }, "uris" : [ "http://www.mendeley.com/documents/?uuid=bf41a510-76e7-4526-8b46-2354621d5d7b" ] } ], "mendeley" : { "formattedCitation" : "(Fischer &amp; Boer, 2011)", "plainTextFormattedCitation" : "(Fischer &amp; Boer, 2011)", "previouslyFormattedCitation" : "(Fischer &amp; Boer, 2011)"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 xml:space="preserve">(Fischer &amp; Boer, </w:t>
      </w:r>
      <w:r w:rsidRPr="00AE337C">
        <w:rPr>
          <w:rFonts w:eastAsia="Times New Roman" w:cstheme="minorHAnsi"/>
          <w:noProof/>
          <w:lang w:val="en-US" w:eastAsia="en-GB"/>
        </w:rPr>
        <w:lastRenderedPageBreak/>
        <w:t>2011)</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It is also believed to have strong sense of self-efficacy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"Kitayama", "given" : "S", "non-dropping-particle" : "", "parse-names" : false, "suffix" : "" }, { "dropping-particle" : "", "family" : "Snibbe", "given" : "A. C", "non-dropping-particle" : "", "parse-names" : false, "suffix" : "" }, { "dropping-particle" : "", "family" : "Markus", "given" : "H. R", "non-dropping-particle" : "", "parse-names" : false, "suffix" : "" }, { "dropping-particle" : "", "family" : "Suzuki", "given" : "T", "non-dropping-particle" : "", "parse-names" : false, "suffix" : "" } ], "container-title" : "Psychol. Sci", "id" : "ITEM-1", "issued" : { "date-parts" : [ [ "2004" ] ] }, "page" : "527\u2013533", "title" : "Is there any \u201cfree\u201d choice? Self and dissonance in two cultures", "type" : "article-journal", "volume" : "15" }, "uris" : [ "http://www.mendeley.com/documents/?uuid=f12e0424-8972-4bd4-b2a9-aaa8343196b1" ] } ], "mendeley" : { "formattedCitation" : "(Kitayama, Snibbe, Markus, &amp; Suzuki, 2004)", "manualFormatting" : "(Kitayama et al., 2004)", "plainTextFormattedCitation" : "(Kitayama, Snibbe, Markus, &amp; Suzuki, 2004)", "previouslyFormattedCitation" : "(Kitayama, Snibbe, Markus, &amp; Suzuki, 2004)"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(Kitayama et al., 2004)</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However, negative potential effects in the individualistic culture exist particularly in pursuing personal achievements which creates competition between individuals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"Triandis", "given" : "H. C.", "non-dropping-particle" : "", "parse-names" : false, "suffix" : "" } ], "id" : "ITEM-1", "issued" : { "date-parts" : [ [ "1995" ] ] }, "publisher" : "Westview Press", "publisher-place" : "Boulder, CO", "title" : "Individualism and Collectivism", "type" : "book" }, "uris" : [ "http://www.mendeley.com/documents/?uuid=91283185-c1ab-4f8b-bb3e-e2d086523c2e" ] } ], "mendeley" : { "formattedCitation" : "(Triandis, 1995)", "plainTextFormattedCitation" : "(Triandis, 1995)", "previouslyFormattedCitation" : "(Triandis, 1995)"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(Triandis, 1995)</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It can also result in high social anxiety due to high social mobility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"Oishi", "given" : "S", "non-dropping-particle" : "", "parse-names" : false, "suffix" : "" }, { "dropping-particle" : "", "family" : "Kesebir", "given" : "S", "non-dropping-particle" : "", "parse-names" : false, "suffix" : "" }, { "dropping-particle" : "", "family" : "Miao", "given" : "F. F", "non-dropping-particle" : "", "parse-names" : false, "suffix" : "" }, { "dropping-particle" : "", "family" : "Talhelm", "given" : "T", "non-dropping-particle" : "", "parse-names" : false, "suffix" : "" }, { "dropping-particle" : "", "family" : "Endo", "given" : "Y", "non-dropping-particle" : "", "parse-names" : false, "suffix" : "" }, { "dropping-particle" : "", "family" : "Uchida", "given" : "Y", "non-dropping-particle" : "", "parse-names" : false, "suffix" : "" } ], "container-title" : "J. Exp. Soc. Psychol", "id" : "ITEM-1", "issued" : { "date-parts" : [ [ "2013" ] ] }, "page" : "217\u2013223", "title" : "Residential mobility increases motivation to expand social network: but why?", "type" : "article-journal", "volume" : "49" }, "uris" : [ "http://www.mendeley.com/documents/?uuid=963e3547-5597-4c3a-a6a2-0c6593432f00" ] } ], "mendeley" : { "formattedCitation" : "(Oishi et al., 2013)", "plainTextFormattedCitation" : "(Oishi et al., 2013)", "previouslyFormattedCitation" : "(Oishi et al., 2013)"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(Oishi et al., 2013)</w:t>
      </w:r>
      <w:r w:rsidR="00A02014" w:rsidRPr="00AE337C">
        <w:rPr>
          <w:rFonts w:eastAsia="Times New Roman" w:cstheme="minorHAnsi"/>
          <w:lang w:val="en-US" w:eastAsia="en-GB"/>
        </w:rPr>
        <w:fldChar w:fldCharType="end"/>
      </w:r>
      <w:r w:rsidRPr="00AE337C">
        <w:rPr>
          <w:rFonts w:eastAsia="Times New Roman" w:cstheme="minorHAnsi"/>
          <w:lang w:val="en-US" w:eastAsia="en-GB"/>
        </w:rPr>
        <w:t>. Eventually there is focused attention on personal achievements and thus, it affects the interpersonal relationships</w:t>
      </w:r>
      <w:r w:rsidR="00DC2710" w:rsidRPr="00AE337C">
        <w:rPr>
          <w:rFonts w:eastAsia="Times New Roman" w:cstheme="minorHAnsi"/>
          <w:lang w:val="en-US" w:eastAsia="en-GB"/>
        </w:rPr>
        <w:t xml:space="preserve">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"Park", "given" : "L. E", "non-dropping-particle" : "", "parse-names" : false, "suffix" : "" }, { "dropping-particle" : "", "family" : "Crocker", "given" : "J", "non-dropping-particle" : "", "parse-names" : false, "suffix" : "" } ], "container-title" : "Pers. Soc. Psychol. Bull", "id" : "ITEM-1", "issued" : { "date-parts" : [ [ "2005" ] ] }, "page" : "1587\u20131598", "title" : "Interpersonal consequences of seeking self-esteem", "type" : "article-journal", "volume" : "31" }, "uris" : [ "http://www.mendeley.com/documents/?uuid=3734cb33-f90a-4ebe-8bf6-1c5e0b24432a" ] } ], "mendeley" : { "formattedCitation" : "(Park &amp; Crocker, 2005)", "plainTextFormattedCitation" : "(Park &amp; Crocker, 2005)", "previouslyFormattedCitation" : "(Park &amp; Crocker, 2005)"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(Park &amp; Crocker, 2005)</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According to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"Oishi", "given" : "S", "non-dropping-particle" : "", "parse-names" : false, "suffix" : "" } ], "id" : "ITEM-1", "issued" : { "date-parts" : [ [ "2012" ] ] }, "publisher" : "Blackwell Publishing Ltd.", "publisher-place" : "USA", "title" : "The Psychological Wealth of Nations: Do Happy People Make a Happy Society?", "type" : "book" }, "uris" : [ "http://www.mendeley.com/documents/?uuid=d3e2c0d5-5b30-4e59-ad30-a746072bb405" ] } ], "mendeley" : { "formattedCitation" : "(Oishi, 2012)", "manualFormatting" : "Oishi (2012)", "plainTextFormattedCitation" : "(Oishi, 2012)", "previouslyFormattedCitation" : "(Oishi, 2012)"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Oishi (2012)</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although the values of individualism are adaptive in European and American cultures, it might not be adaptive in other cultures. Thus, the causes of individualism </w:t>
      </w:r>
      <w:r w:rsidR="00F931E7" w:rsidRPr="00AE337C">
        <w:rPr>
          <w:rFonts w:eastAsia="Times New Roman" w:cstheme="minorHAnsi"/>
          <w:lang w:val="en-US" w:eastAsia="en-GB"/>
        </w:rPr>
        <w:t>relate</w:t>
      </w:r>
      <w:r w:rsidRPr="00AE337C">
        <w:rPr>
          <w:rFonts w:eastAsia="Times New Roman" w:cstheme="minorHAnsi"/>
          <w:lang w:val="en-US" w:eastAsia="en-GB"/>
        </w:rPr>
        <w:t xml:space="preserve"> to self-interest, self-absorbed, egocentric trances which are damaging effects as it neglects the responsibility of social relations and mutual </w:t>
      </w:r>
      <w:proofErr w:type="spellStart"/>
      <w:r w:rsidRPr="00AE337C">
        <w:rPr>
          <w:rFonts w:eastAsia="Times New Roman" w:cstheme="minorHAnsi"/>
          <w:lang w:val="en-US" w:eastAsia="en-GB"/>
        </w:rPr>
        <w:t>consultationengagement</w:t>
      </w:r>
      <w:proofErr w:type="spellEnd"/>
      <w:r w:rsidRPr="00AE337C">
        <w:rPr>
          <w:rFonts w:eastAsia="Times New Roman" w:cstheme="minorHAnsi"/>
          <w:lang w:val="en-US" w:eastAsia="en-GB"/>
        </w:rPr>
        <w:t xml:space="preserve"> based on sincerity.</w:t>
      </w:r>
    </w:p>
    <w:p w:rsidR="00D308E2" w:rsidRPr="00AE337C" w:rsidRDefault="004F2E04" w:rsidP="00AE337C">
      <w:pPr>
        <w:spacing w:after="120" w:line="240" w:lineRule="auto"/>
        <w:ind w:firstLine="567"/>
        <w:jc w:val="both"/>
        <w:rPr>
          <w:rFonts w:eastAsia="Times New Roman" w:cstheme="minorHAnsi"/>
          <w:lang w:val="en-US" w:eastAsia="en-GB"/>
        </w:rPr>
      </w:pPr>
      <w:r w:rsidRPr="00AE337C">
        <w:rPr>
          <w:rFonts w:cstheme="minorHAnsi"/>
          <w:b/>
          <w:lang w:val="en-US"/>
        </w:rPr>
        <w:t>4</w:t>
      </w:r>
      <w:r w:rsidR="00D308E2" w:rsidRPr="00AE337C">
        <w:rPr>
          <w:rFonts w:cstheme="minorHAnsi"/>
          <w:b/>
          <w:lang w:val="en-US"/>
        </w:rPr>
        <w:t>. Discussion</w:t>
      </w:r>
    </w:p>
    <w:p w:rsidR="00D308E2" w:rsidRPr="00AE337C" w:rsidRDefault="00D308E2" w:rsidP="00AE337C">
      <w:pPr>
        <w:spacing w:after="120" w:line="240" w:lineRule="auto"/>
        <w:ind w:firstLine="567"/>
        <w:jc w:val="both"/>
        <w:rPr>
          <w:rFonts w:eastAsia="Times New Roman" w:cstheme="minorHAnsi"/>
          <w:lang w:val="en-US" w:eastAsia="en-GB"/>
        </w:rPr>
      </w:pPr>
      <w:r w:rsidRPr="00AE337C">
        <w:rPr>
          <w:rFonts w:cstheme="minorHAnsi"/>
          <w:lang w:val="en-US"/>
        </w:rPr>
        <w:t xml:space="preserve">The findings reveal that </w:t>
      </w:r>
      <w:proofErr w:type="spellStart"/>
      <w:r w:rsidRPr="00AE337C">
        <w:rPr>
          <w:rFonts w:cstheme="minorHAnsi"/>
          <w:lang w:val="en-US"/>
        </w:rPr>
        <w:t>Nursi</w:t>
      </w:r>
      <w:proofErr w:type="spellEnd"/>
      <w:r w:rsidRPr="00AE337C">
        <w:rPr>
          <w:rFonts w:cstheme="minorHAnsi"/>
          <w:lang w:val="en-US"/>
        </w:rPr>
        <w:t xml:space="preserve"> aims his call to his present audience </w:t>
      </w:r>
      <w:r w:rsidRPr="00AE337C">
        <w:rPr>
          <w:rFonts w:eastAsia="Times New Roman" w:cstheme="minorHAnsi"/>
          <w:lang w:val="en-US" w:eastAsia="en-GB"/>
        </w:rPr>
        <w:t xml:space="preserve">in the Umayyad Mosque </w:t>
      </w:r>
      <w:r w:rsidRPr="00AE337C">
        <w:rPr>
          <w:rFonts w:cstheme="minorHAnsi"/>
          <w:lang w:val="en-US"/>
        </w:rPr>
        <w:t>and his envisioned audience from different regions in the Islamic world when he delivers his</w:t>
      </w:r>
      <w:r w:rsidR="004F2E04" w:rsidRPr="00AE337C">
        <w:rPr>
          <w:rFonts w:cstheme="minorHAnsi"/>
          <w:lang w:val="en-US"/>
        </w:rPr>
        <w:t xml:space="preserve"> </w:t>
      </w:r>
      <w:r w:rsidRPr="00AE337C">
        <w:rPr>
          <w:rFonts w:cstheme="minorHAnsi"/>
          <w:i/>
          <w:lang w:val="en-US"/>
        </w:rPr>
        <w:t>Sermon</w:t>
      </w:r>
      <w:r w:rsidRPr="00AE337C">
        <w:rPr>
          <w:rFonts w:cstheme="minorHAnsi"/>
          <w:lang w:val="en-US"/>
        </w:rPr>
        <w:t>. He</w:t>
      </w:r>
      <w:r w:rsidRPr="00AE337C">
        <w:rPr>
          <w:rFonts w:eastAsia="Times New Roman" w:cstheme="minorHAnsi"/>
          <w:lang w:val="en-US" w:eastAsia="en-GB"/>
        </w:rPr>
        <w:t xml:space="preserve"> focuses on them as his target audience whom he </w:t>
      </w:r>
      <w:proofErr w:type="spellStart"/>
      <w:r w:rsidRPr="00AE337C">
        <w:rPr>
          <w:rFonts w:eastAsia="Times New Roman" w:cstheme="minorHAnsi"/>
          <w:lang w:val="en-US" w:eastAsia="en-GB"/>
        </w:rPr>
        <w:t>foreseesas</w:t>
      </w:r>
      <w:proofErr w:type="spellEnd"/>
      <w:r w:rsidRPr="00AE337C">
        <w:rPr>
          <w:rFonts w:eastAsia="Times New Roman" w:cstheme="minorHAnsi"/>
          <w:lang w:val="en-US" w:eastAsia="en-GB"/>
        </w:rPr>
        <w:t xml:space="preserve"> he predicts a good future and also considers them as his brothers who are capable of being mediators of change. According to Bitzer, "a rhetorical audience consists only of those persons who are capable of being influenced by discourse and of being mediators of change" </w:t>
      </w:r>
      <w:r w:rsidR="00A02014" w:rsidRPr="00AE337C">
        <w:rPr>
          <w:rFonts w:cstheme="minorHAnsi"/>
          <w:lang w:val="en-US"/>
        </w:rPr>
        <w:fldChar w:fldCharType="begin" w:fldLock="1"/>
      </w:r>
      <w:r w:rsidRPr="00AE337C">
        <w:rPr>
          <w:rFonts w:cstheme="minorHAnsi"/>
          <w:lang w:val="en-US"/>
        </w:rPr>
        <w:instrText>ADDIN CSL_CITATION { "citationItems" : [ { "id" : "ITEM-1", "itemData" : { "author" : [ { "dropping-particle" : "", "family" : "Bitzer", "given" : "L. F.", "non-dropping-particle" : "", "parse-names" : false, "suffix" : "" } ], "container-title" : "Readings in rhetorical criticism", "editor" : [ { "dropping-particle" : "", "family" : "Burgchardt", "given" : "Carl", "non-dropping-particle" : "", "parse-names" : false, "suffix" : "" } ], "id" : "ITEM-1", "issued" : { "date-parts" : [ [ "1995" ] ] }, "page" : "58-67", "publisher" : "Strata Publishing", "publisher-place" : "New York", "title" : "The Rhetorical Situation", "type" : "chapter" }, "uris" : [ "http://www.mendeley.com/documents/?uuid=1cc7c343-f369-41b6-bc18-3c5b421fa6c8" ] } ], "mendeley" : { "formattedCitation" : "(L. F. Bitzer, 1995)", "manualFormatting" : "(Bitzer, 1995, p. 62)", "plainTextFormattedCitation" : "(L. F. Bitzer, 1995)", "previouslyFormattedCitation" : "(L. F. Bitzer, 1995)"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(Bitzer, 1995, p. 62)</w:t>
      </w:r>
      <w:r w:rsidR="00A02014" w:rsidRPr="00AE337C">
        <w:rPr>
          <w:rFonts w:cstheme="minorHAnsi"/>
          <w:lang w:val="en-US"/>
        </w:rPr>
        <w:fldChar w:fldCharType="end"/>
      </w:r>
      <w:r w:rsidRPr="00AE337C">
        <w:rPr>
          <w:rFonts w:cstheme="minorHAnsi"/>
          <w:lang w:val="en-US"/>
        </w:rPr>
        <w:t>. He says that they also have the capability to influence others.</w:t>
      </w:r>
      <w:r w:rsidR="0014181B" w:rsidRPr="00AE337C">
        <w:rPr>
          <w:rFonts w:cstheme="minorHAnsi"/>
          <w:lang w:val="en-US"/>
        </w:rPr>
        <w:t xml:space="preserve"> </w:t>
      </w:r>
      <w:r w:rsidRPr="00AE337C">
        <w:rPr>
          <w:rFonts w:eastAsia="Times New Roman" w:cstheme="minorHAnsi"/>
          <w:lang w:val="en-US" w:eastAsia="en-GB"/>
        </w:rPr>
        <w:t xml:space="preserve">Thus, audience plays a very important role in a rhetorical situation through their actions. </w:t>
      </w:r>
      <w:proofErr w:type="spellStart"/>
      <w:r w:rsidRPr="00AE337C">
        <w:rPr>
          <w:rFonts w:eastAsia="Times New Roman" w:cstheme="minorHAnsi"/>
          <w:color w:val="000000"/>
          <w:lang w:val="en-US" w:eastAsia="en-GB"/>
        </w:rPr>
        <w:t>Nursi’s</w:t>
      </w:r>
      <w:proofErr w:type="spellEnd"/>
      <w:r w:rsidRPr="00AE337C">
        <w:rPr>
          <w:rFonts w:eastAsia="Times New Roman" w:cstheme="minorHAnsi"/>
          <w:color w:val="000000"/>
          <w:lang w:val="en-US" w:eastAsia="en-GB"/>
        </w:rPr>
        <w:t xml:space="preserve"> rhetorical audience </w:t>
      </w:r>
      <w:proofErr w:type="spellStart"/>
      <w:r w:rsidRPr="00AE337C">
        <w:rPr>
          <w:rFonts w:eastAsia="Times New Roman" w:cstheme="minorHAnsi"/>
          <w:color w:val="000000"/>
          <w:lang w:val="en-US" w:eastAsia="en-GB"/>
        </w:rPr>
        <w:t>has</w:t>
      </w:r>
      <w:r w:rsidRPr="00AE337C">
        <w:rPr>
          <w:rFonts w:eastAsia="Times New Roman" w:cstheme="minorHAnsi"/>
          <w:color w:val="000000"/>
          <w:w w:val="101"/>
          <w:lang w:val="en-US" w:eastAsia="en-GB"/>
        </w:rPr>
        <w:t>shown</w:t>
      </w:r>
      <w:proofErr w:type="spellEnd"/>
      <w:r w:rsidRPr="00AE337C">
        <w:rPr>
          <w:rFonts w:eastAsia="Times New Roman" w:cstheme="minorHAnsi"/>
          <w:color w:val="000000"/>
          <w:w w:val="101"/>
          <w:lang w:val="en-US" w:eastAsia="en-GB"/>
        </w:rPr>
        <w:t xml:space="preserve"> their capability of being mediators of change. </w:t>
      </w:r>
      <w:proofErr w:type="spellStart"/>
      <w:r w:rsidRPr="00AE337C">
        <w:rPr>
          <w:rFonts w:eastAsia="Times New Roman" w:cstheme="minorHAnsi"/>
          <w:color w:val="000000"/>
          <w:w w:val="101"/>
          <w:lang w:val="en-US" w:eastAsia="en-GB"/>
        </w:rPr>
        <w:t>Nursi</w:t>
      </w:r>
      <w:proofErr w:type="spellEnd"/>
      <w:r w:rsidRPr="00AE337C">
        <w:rPr>
          <w:rFonts w:eastAsia="Times New Roman" w:cstheme="minorHAnsi"/>
          <w:color w:val="000000"/>
          <w:w w:val="101"/>
          <w:lang w:val="en-US" w:eastAsia="en-GB"/>
        </w:rPr>
        <w:t xml:space="preserve"> is able to influence </w:t>
      </w:r>
      <w:r w:rsidRPr="00AE337C">
        <w:rPr>
          <w:rFonts w:eastAsia="Times New Roman" w:cstheme="minorHAnsi"/>
          <w:lang w:val="en-US"/>
        </w:rPr>
        <w:t xml:space="preserve">millions of adherents through his writings and the </w:t>
      </w:r>
      <w:r w:rsidRPr="00AE337C">
        <w:rPr>
          <w:rFonts w:eastAsia="Times New Roman" w:cstheme="minorHAnsi"/>
          <w:i/>
          <w:lang w:val="en-US"/>
        </w:rPr>
        <w:t>Nur community</w:t>
      </w:r>
      <w:r w:rsidRPr="00AE337C">
        <w:rPr>
          <w:rFonts w:eastAsia="Times New Roman" w:cstheme="minorHAnsi"/>
          <w:lang w:val="en-US"/>
        </w:rPr>
        <w:t xml:space="preserve"> is one of the most prominent religious and social movements in the contemporary Turkey </w:t>
      </w:r>
      <w:r w:rsidR="00A02014" w:rsidRPr="00AE337C">
        <w:rPr>
          <w:rFonts w:cstheme="minorHAnsi"/>
          <w:lang w:val="en-US"/>
        </w:rPr>
        <w:fldChar w:fldCharType="begin" w:fldLock="1"/>
      </w:r>
      <w:r w:rsidRPr="00AE337C">
        <w:rPr>
          <w:rFonts w:cstheme="minorHAnsi"/>
          <w:lang w:val="en-US"/>
        </w:rPr>
        <w:instrText>ADDIN CSL_CITATION { "citationItems" : [ { "id" : "ITEM-1", "itemData" : { "ISBN" : "0791478157, 9780791478158", "author" : [ { "dropping-particle" : "", "family" : "Abu-Rabi'", "given" : "Ibrahim M.", "non-dropping-particle" : "", "parse-names" : false, "suffix" : "" } ], "id" : "ITEM-1", "issued" : { "date-parts" : [ [ "2008" ] ] }, "number-of-pages" : "448", "publisher" : "Suny Press", "title" : "Spiritual Dimensions of Bediuzzaman Said Nursi's Risale-I Nur", "type" : "book" }, "uris" : [ "http://www.mendeley.com/documents/?uuid=bc3d738d-a4c0-424e-9040-0fafc3b33004" ] } ], "mendeley" : { "formattedCitation" : "(Abu-Rabi\u2019, 2008a)", "plainTextFormattedCitation" : "(Abu-Rabi\u2019, 2008a)", "previouslyFormattedCitation" : "(Abu-Rabi\u2019, 2008a)" }, "properties" : { "noteIndex" : 0 }, "schema" : "https://github.com/citation-style-language/schema/raw/master/csl-citation.json" }</w:instrText>
      </w:r>
      <w:r w:rsidR="00A02014" w:rsidRPr="00AE337C">
        <w:rPr>
          <w:rFonts w:cstheme="minorHAnsi"/>
          <w:lang w:val="en-US"/>
        </w:rPr>
        <w:fldChar w:fldCharType="separate"/>
      </w:r>
      <w:r w:rsidRPr="00AE337C">
        <w:rPr>
          <w:rFonts w:cstheme="minorHAnsi"/>
          <w:noProof/>
          <w:lang w:val="en-US"/>
        </w:rPr>
        <w:t>(Abu-Rabi’, 2008a)</w:t>
      </w:r>
      <w:r w:rsidR="00A02014" w:rsidRPr="00AE337C">
        <w:rPr>
          <w:rFonts w:cstheme="minorHAnsi"/>
          <w:lang w:val="en-US"/>
        </w:rPr>
        <w:fldChar w:fldCharType="end"/>
      </w:r>
      <w:r w:rsidRPr="00AE337C">
        <w:rPr>
          <w:rFonts w:cstheme="minorHAnsi"/>
          <w:lang w:val="en-US"/>
        </w:rPr>
        <w:t>.</w:t>
      </w:r>
      <w:r w:rsidR="0014181B" w:rsidRPr="00AE337C">
        <w:rPr>
          <w:rFonts w:cstheme="minorHAnsi"/>
          <w:lang w:val="en-US"/>
        </w:rPr>
        <w:t xml:space="preserve"> </w:t>
      </w:r>
      <w:r w:rsidRPr="00AE337C">
        <w:rPr>
          <w:rFonts w:eastAsia="Times New Roman" w:cstheme="minorHAnsi"/>
          <w:color w:val="000000"/>
          <w:w w:val="101"/>
          <w:lang w:val="en-US" w:eastAsia="en-GB"/>
        </w:rPr>
        <w:t xml:space="preserve">He is able to display his charismatic qualities and his audience </w:t>
      </w:r>
      <w:proofErr w:type="spellStart"/>
      <w:r w:rsidRPr="00AE337C">
        <w:rPr>
          <w:rFonts w:eastAsia="Times New Roman" w:cstheme="minorHAnsi"/>
          <w:color w:val="000000"/>
          <w:w w:val="101"/>
          <w:lang w:val="en-US" w:eastAsia="en-GB"/>
        </w:rPr>
        <w:t>centred</w:t>
      </w:r>
      <w:proofErr w:type="spellEnd"/>
      <w:r w:rsidRPr="00AE337C">
        <w:rPr>
          <w:rFonts w:eastAsia="Times New Roman" w:cstheme="minorHAnsi"/>
          <w:color w:val="000000"/>
          <w:w w:val="101"/>
          <w:lang w:val="en-US" w:eastAsia="en-GB"/>
        </w:rPr>
        <w:t xml:space="preserve"> attributes when he portrays his concern for his audience’s needs, interest and expectations. </w:t>
      </w:r>
      <w:proofErr w:type="spellStart"/>
      <w:r w:rsidRPr="00AE337C">
        <w:rPr>
          <w:rFonts w:eastAsia="Times New Roman" w:cstheme="minorHAnsi"/>
          <w:color w:val="000000"/>
          <w:w w:val="101"/>
          <w:lang w:val="en-US" w:eastAsia="en-GB"/>
        </w:rPr>
        <w:t>Nursi</w:t>
      </w:r>
      <w:proofErr w:type="spellEnd"/>
      <w:r w:rsidRPr="00AE337C">
        <w:rPr>
          <w:rFonts w:eastAsia="Times New Roman" w:cstheme="minorHAnsi"/>
          <w:color w:val="000000"/>
          <w:w w:val="101"/>
          <w:lang w:val="en-US" w:eastAsia="en-GB"/>
        </w:rPr>
        <w:t xml:space="preserve"> displays his real engagement with the audience who not only listen to his speech but also those who read as he is able to illustrate the “six dire sicknesses” and provide the exact solutions in the form of six ‘Words</w:t>
      </w:r>
      <w:r w:rsidR="0014181B" w:rsidRPr="00AE337C">
        <w:rPr>
          <w:rFonts w:eastAsia="Times New Roman" w:cstheme="minorHAnsi"/>
          <w:color w:val="000000"/>
          <w:w w:val="101"/>
          <w:lang w:val="en-US" w:eastAsia="en-GB"/>
        </w:rPr>
        <w:t>’</w:t>
      </w:r>
      <w:r w:rsidRPr="00AE337C">
        <w:rPr>
          <w:rFonts w:eastAsia="Times New Roman" w:cstheme="minorHAnsi"/>
          <w:color w:val="000000"/>
          <w:w w:val="101"/>
          <w:lang w:val="en-US" w:eastAsia="en-GB"/>
        </w:rPr>
        <w:t>.</w:t>
      </w:r>
      <w:r w:rsidR="0014181B" w:rsidRPr="00AE337C">
        <w:rPr>
          <w:rFonts w:eastAsia="Times New Roman" w:cstheme="minorHAnsi"/>
          <w:color w:val="000000"/>
          <w:w w:val="101"/>
          <w:lang w:val="en-US" w:eastAsia="en-GB"/>
        </w:rPr>
        <w:t xml:space="preserve"> </w:t>
      </w:r>
      <w:r w:rsidRPr="00AE337C">
        <w:rPr>
          <w:rFonts w:eastAsia="Times New Roman" w:cstheme="minorHAnsi"/>
          <w:color w:val="000000"/>
          <w:lang w:val="en-US"/>
        </w:rPr>
        <w:t xml:space="preserve">Cicero considers being engaged wholeheartedly with the audience is an important matter </w:t>
      </w:r>
      <w:r w:rsidRPr="00AE337C">
        <w:rPr>
          <w:rFonts w:eastAsia="Times New Roman" w:cstheme="minorHAnsi"/>
          <w:color w:val="000000"/>
          <w:lang w:val="en-US"/>
        </w:rPr>
        <w:lastRenderedPageBreak/>
        <w:t>and he mentions three attitudes towards an orator which are being hostile, indifferent or accepting</w:t>
      </w:r>
      <w:r w:rsidR="0014181B" w:rsidRPr="00AE337C">
        <w:rPr>
          <w:rFonts w:eastAsia="Times New Roman" w:cstheme="minorHAnsi"/>
          <w:color w:val="000000"/>
          <w:lang w:val="en-US"/>
        </w:rPr>
        <w:t xml:space="preserve"> </w:t>
      </w:r>
      <w:r w:rsidR="00A02014" w:rsidRPr="00AE337C">
        <w:rPr>
          <w:rFonts w:eastAsia="Times New Roman" w:cstheme="minorHAnsi"/>
          <w:color w:val="000000"/>
          <w:lang w:val="en-US"/>
        </w:rPr>
        <w:fldChar w:fldCharType="begin" w:fldLock="1"/>
      </w:r>
      <w:r w:rsidRPr="00AE337C">
        <w:rPr>
          <w:rFonts w:eastAsia="Times New Roman" w:cstheme="minorHAnsi"/>
          <w:color w:val="000000"/>
          <w:lang w:val="en-US"/>
        </w:rPr>
        <w:instrText>ADDIN CSL_CITATION { "citationItems" : [ { "id" : "ITEM-1", "itemData" : { "author" : [ { "dropping-particle" : "", "family" : "Crowley", "given" : "Sharon", "non-dropping-particle" : "", "parse-names" : false, "suffix" : "" }, { "dropping-particle" : "", "family" : "Hawhee", "given" : "Debra", "non-dropping-particle" : "", "parse-names" : false, "suffix" : "" } ], "id" : "ITEM-1", "issued" : { "date-parts" : [ [ "2004" ] ] }, "number-of-pages" : "462", "publisher" : "Pearson/Longman", "publisher-place" : "New York", "title" : "Ancient Rhetorics for Contemporary Students", "type" : "book" }, "uris" : [ "http://www.mendeley.com/documents/?uuid=0a126065-3c78-4d92-b822-2e9fdb4e593d" ] } ], "mendeley" : { "formattedCitation" : "(Crowley &amp; Hawhee, 2004)", "manualFormatting" : "(Crowley &amp; Hawhee,  2004)", "plainTextFormattedCitation" : "(Crowley &amp; Hawhee, 2004)", "previouslyFormattedCitation" : "(Crowley &amp; Hawhee, 2004)" }, "properties" : { "noteIndex" : 0 }, "schema" : "https://github.com/citation-style-language/schema/raw/master/csl-citation.json" }</w:instrText>
      </w:r>
      <w:r w:rsidR="00A02014" w:rsidRPr="00AE337C">
        <w:rPr>
          <w:rFonts w:eastAsia="Times New Roman" w:cstheme="minorHAnsi"/>
          <w:color w:val="000000"/>
          <w:lang w:val="en-US"/>
        </w:rPr>
        <w:fldChar w:fldCharType="separate"/>
      </w:r>
      <w:r w:rsidRPr="00AE337C">
        <w:rPr>
          <w:rFonts w:eastAsia="Times New Roman" w:cstheme="minorHAnsi"/>
          <w:noProof/>
          <w:color w:val="000000"/>
          <w:lang w:val="en-US"/>
        </w:rPr>
        <w:t>(Crowley &amp; Hawhee, 2004)</w:t>
      </w:r>
      <w:r w:rsidR="00A02014" w:rsidRPr="00AE337C">
        <w:rPr>
          <w:rFonts w:eastAsia="Times New Roman" w:cstheme="minorHAnsi"/>
          <w:color w:val="000000"/>
          <w:lang w:val="en-US"/>
        </w:rPr>
        <w:fldChar w:fldCharType="end"/>
      </w:r>
      <w:r w:rsidRPr="00AE337C">
        <w:rPr>
          <w:rFonts w:eastAsia="Times New Roman" w:cstheme="minorHAnsi"/>
          <w:color w:val="000000"/>
          <w:lang w:val="en-US"/>
        </w:rPr>
        <w:t xml:space="preserve">. </w:t>
      </w:r>
    </w:p>
    <w:p w:rsidR="00D308E2" w:rsidRPr="00AE337C" w:rsidRDefault="00D308E2" w:rsidP="00AE337C">
      <w:pPr>
        <w:spacing w:after="120" w:line="240" w:lineRule="auto"/>
        <w:ind w:firstLine="567"/>
        <w:jc w:val="both"/>
        <w:rPr>
          <w:rFonts w:eastAsia="Times New Roman" w:cstheme="minorHAnsi"/>
          <w:color w:val="000000"/>
          <w:lang w:val="en-US"/>
        </w:rPr>
      </w:pPr>
      <w:proofErr w:type="spellStart"/>
      <w:r w:rsidRPr="00AE337C">
        <w:rPr>
          <w:rFonts w:eastAsia="Times New Roman" w:cstheme="minorHAnsi"/>
          <w:color w:val="000000"/>
          <w:lang w:val="en-US"/>
        </w:rPr>
        <w:t>Nursi</w:t>
      </w:r>
      <w:proofErr w:type="spellEnd"/>
      <w:r w:rsidRPr="00AE337C">
        <w:rPr>
          <w:rFonts w:eastAsia="Times New Roman" w:cstheme="minorHAnsi"/>
          <w:color w:val="000000"/>
          <w:lang w:val="en-US"/>
        </w:rPr>
        <w:t xml:space="preserve"> provides th</w:t>
      </w:r>
      <w:r w:rsidRPr="00AE337C">
        <w:rPr>
          <w:rFonts w:eastAsia="Times New Roman" w:cstheme="minorHAnsi"/>
          <w:lang w:val="en-US" w:eastAsia="en-GB"/>
        </w:rPr>
        <w:t xml:space="preserve">e six ‘Words’ as solutions to the six “dire sicknesses” and instils the ‘positive actions’ which are able to remove the problems from the exigencies in the situation.  The fitting responses of these six ‘Words,’ positively fit and become the positive modification in the rhetorical situation. According to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"Bitzer", "given" : "Lloyd F.", "non-dropping-particle" : "", "parse-names" : false, "suffix" : "" } ], "container-title" : "Contemporary Rhetorical Theory", "editor" : [ { "dropping-particle" : "", "family" : "Luraites", "given" : "John", "non-dropping-particle" : "", "parse-names" : false, "suffix" : "" }, { "dropping-particle" : "", "family" : "Condit", "given" : "Celeste", "non-dropping-particle" : "", "parse-names" : false, "suffix" : "" }, { "dropping-particle" : "", "family" : "Caudill", "given" : "Sally", "non-dropping-particle" : "", "parse-names" : false, "suffix" : "" } ], "id" : "ITEM-1", "issued" : { "date-parts" : [ [ "1968" ] ] }, "page" : "217-225", "publisher" : "Guilford Press", "publisher-place" : "New Jersey, USA", "title" : "The Rhetorical Situation. Philosophy and Rhetoric", "type" : "chapter" }, "uris" : [ "http://www.mendeley.com/documents/?uuid=37c90812-ddd6-4d6b-8e58-830d081bf970" ] } ], "mendeley" : { "formattedCitation" : "(Lloyd F. Bitzer, 1968)", "manualFormatting" : " Bitzer (1968)", "plainTextFormattedCitation" : "(Lloyd F. Bitzer, 1968)", "previouslyFormattedCitation" : "(Lloyd F. Bitzer, 1968)"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Bitzer (1968)</w:t>
      </w:r>
      <w:r w:rsidR="00A02014" w:rsidRPr="00AE337C">
        <w:rPr>
          <w:rFonts w:eastAsia="Times New Roman" w:cstheme="minorHAnsi"/>
          <w:lang w:val="en-US" w:eastAsia="en-GB"/>
        </w:rPr>
        <w:fldChar w:fldCharType="end"/>
      </w:r>
      <w:r w:rsidRPr="00AE337C">
        <w:rPr>
          <w:rFonts w:eastAsia="Times New Roman" w:cstheme="minorHAnsi"/>
          <w:lang w:val="en-US" w:eastAsia="en-GB"/>
        </w:rPr>
        <w:t>, in order to eliminate the exigence, there must be a positive modification.</w:t>
      </w:r>
      <w:r w:rsidR="0014181B" w:rsidRPr="00AE337C">
        <w:rPr>
          <w:rFonts w:eastAsia="Times New Roman" w:cstheme="minorHAnsi"/>
          <w:lang w:val="en-US" w:eastAsia="en-GB"/>
        </w:rPr>
        <w:t xml:space="preserve"> </w:t>
      </w:r>
      <w:proofErr w:type="spellStart"/>
      <w:r w:rsidRPr="00AE337C">
        <w:rPr>
          <w:rFonts w:eastAsia="Times New Roman" w:cstheme="minorHAnsi"/>
          <w:lang w:val="en-US" w:eastAsia="en-GB"/>
        </w:rPr>
        <w:t>Nursi</w:t>
      </w:r>
      <w:proofErr w:type="spellEnd"/>
      <w:r w:rsidRPr="00AE337C">
        <w:rPr>
          <w:rFonts w:eastAsia="Times New Roman" w:cstheme="minorHAnsi"/>
          <w:lang w:val="en-US" w:eastAsia="en-GB"/>
        </w:rPr>
        <w:t xml:space="preserve"> appeals to his audience to make positive changes after he is aware of the consequences of the exigencies in the rhetorical situation which make them react negatively. In order to save their belief, he provides the solution in the form of six ‘Words’ from the Quran. </w:t>
      </w:r>
      <w:r w:rsidRPr="00AE337C">
        <w:rPr>
          <w:rFonts w:eastAsia="Times New Roman" w:cstheme="minorHAnsi"/>
          <w:color w:val="000000"/>
          <w:lang w:val="en-US"/>
        </w:rPr>
        <w:t xml:space="preserve">The six ‘Words’ that </w:t>
      </w:r>
      <w:proofErr w:type="spellStart"/>
      <w:r w:rsidRPr="00AE337C">
        <w:rPr>
          <w:rFonts w:eastAsia="Times New Roman" w:cstheme="minorHAnsi"/>
          <w:color w:val="000000"/>
          <w:lang w:val="en-US"/>
        </w:rPr>
        <w:t>Nursi</w:t>
      </w:r>
      <w:proofErr w:type="spellEnd"/>
      <w:r w:rsidRPr="00AE337C">
        <w:rPr>
          <w:rFonts w:eastAsia="Times New Roman" w:cstheme="minorHAnsi"/>
          <w:color w:val="000000"/>
          <w:lang w:val="en-US"/>
        </w:rPr>
        <w:t xml:space="preserve"> provides for his audience are based </w:t>
      </w:r>
      <w:proofErr w:type="spellStart"/>
      <w:r w:rsidRPr="00AE337C">
        <w:rPr>
          <w:rFonts w:eastAsia="Times New Roman" w:cstheme="minorHAnsi"/>
          <w:color w:val="000000"/>
          <w:lang w:val="en-US"/>
        </w:rPr>
        <w:t>onpositive</w:t>
      </w:r>
      <w:proofErr w:type="spellEnd"/>
      <w:r w:rsidRPr="00AE337C">
        <w:rPr>
          <w:rFonts w:eastAsia="Times New Roman" w:cstheme="minorHAnsi"/>
          <w:color w:val="000000"/>
          <w:lang w:val="en-US"/>
        </w:rPr>
        <w:t xml:space="preserve"> thoughts and emotions which create ‘positive action’ thus, they are constructive. </w:t>
      </w:r>
      <w:r w:rsidRPr="00AE337C">
        <w:rPr>
          <w:rFonts w:eastAsia="Calibri" w:cstheme="minorHAnsi"/>
          <w:lang w:val="en-US"/>
        </w:rPr>
        <w:t xml:space="preserve">Positive emotions promote creative actions and social bonds and when there are sufficient positive emotions, they can generate creative resilient for an optimal well-being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"Fredrickson", "given" : "Barbara L.", "non-dropping-particle" : "", "parse-names" : false, "suffix" : "" } ], "container-title" : "The Royal Society", "id" : "ITEM-1", "issued" : { "date-parts" : [ [ "2004" ] ] }, "publisher" : "Department of Psychology, University of Michigan", "publisher-place" : "USA", "title" : "The broaden-and-build theory of positive emotions", "type" : "article-journal" }, "uris" : [ "http://www.mendeley.com/documents/?uuid=082a13c7-0876-4a49-ba40-ee05ed330601" ] } ], "mendeley" : { "formattedCitation" : "(Fredrickson, 2004)", "plainTextFormattedCitation" : "(Fredrickson, 2004)", "previouslyFormattedCitation" : "(Fredrickson, 2004)"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(Fredrickson, 2004)</w:t>
      </w:r>
      <w:r w:rsidR="00A02014" w:rsidRPr="00AE337C">
        <w:rPr>
          <w:rFonts w:eastAsia="Calibri" w:cstheme="minorHAnsi"/>
          <w:lang w:val="en-US"/>
        </w:rPr>
        <w:fldChar w:fldCharType="end"/>
      </w:r>
      <w:r w:rsidRPr="00AE337C">
        <w:rPr>
          <w:rFonts w:eastAsia="Calibri" w:cstheme="minorHAnsi"/>
          <w:lang w:val="en-US"/>
        </w:rPr>
        <w:t xml:space="preserve">. In this </w:t>
      </w:r>
      <w:r w:rsidRPr="00AE337C">
        <w:rPr>
          <w:rFonts w:eastAsia="Calibri" w:cstheme="minorHAnsi"/>
          <w:i/>
          <w:lang w:val="en-US"/>
        </w:rPr>
        <w:t>Sermon</w:t>
      </w:r>
      <w:r w:rsidRPr="00AE337C">
        <w:rPr>
          <w:rFonts w:eastAsia="Calibri" w:cstheme="minorHAnsi"/>
          <w:lang w:val="en-US"/>
        </w:rPr>
        <w:t xml:space="preserve">, </w:t>
      </w:r>
      <w:proofErr w:type="spellStart"/>
      <w:r w:rsidRPr="00AE337C">
        <w:rPr>
          <w:rFonts w:eastAsia="Calibri" w:cstheme="minorHAnsi"/>
          <w:lang w:val="en-US"/>
        </w:rPr>
        <w:t>Nursi’s</w:t>
      </w:r>
      <w:proofErr w:type="spellEnd"/>
      <w:r w:rsidRPr="00AE337C">
        <w:rPr>
          <w:rFonts w:eastAsia="Calibri" w:cstheme="minorHAnsi"/>
          <w:lang w:val="en-US"/>
        </w:rPr>
        <w:t xml:space="preserve"> call to his audience to implement the ‘positive action’ is</w:t>
      </w:r>
      <w:r w:rsidR="0014181B" w:rsidRPr="00AE337C">
        <w:rPr>
          <w:rFonts w:eastAsia="Calibri" w:cstheme="minorHAnsi"/>
          <w:lang w:val="en-US"/>
        </w:rPr>
        <w:t xml:space="preserve"> for </w:t>
      </w:r>
      <w:r w:rsidRPr="00AE337C">
        <w:rPr>
          <w:rFonts w:eastAsia="Calibri" w:cstheme="minorHAnsi"/>
          <w:lang w:val="en-US"/>
        </w:rPr>
        <w:t>optimal well-being of spiritual growth which focuses on his main aim which is to save his audience’s belief.</w:t>
      </w:r>
      <w:r w:rsidR="0014181B" w:rsidRPr="00AE337C">
        <w:rPr>
          <w:rFonts w:eastAsia="Calibri" w:cstheme="minorHAnsi"/>
          <w:lang w:val="en-US"/>
        </w:rPr>
        <w:t xml:space="preserve"> </w:t>
      </w:r>
      <w:proofErr w:type="spellStart"/>
      <w:r w:rsidR="0014181B" w:rsidRPr="00AE337C">
        <w:rPr>
          <w:rFonts w:eastAsia="Calibri" w:cstheme="minorHAnsi"/>
          <w:bCs/>
          <w:lang w:val="en-US"/>
        </w:rPr>
        <w:t>Nursi’s</w:t>
      </w:r>
      <w:proofErr w:type="spellEnd"/>
      <w:r w:rsidR="0014181B" w:rsidRPr="00AE337C">
        <w:rPr>
          <w:rFonts w:eastAsia="Calibri" w:cstheme="minorHAnsi"/>
          <w:bCs/>
          <w:lang w:val="en-US"/>
        </w:rPr>
        <w:t xml:space="preserve"> writings </w:t>
      </w:r>
      <w:r w:rsidRPr="00AE337C">
        <w:rPr>
          <w:rFonts w:eastAsia="Calibri" w:cstheme="minorHAnsi"/>
          <w:bCs/>
          <w:lang w:val="en-US"/>
        </w:rPr>
        <w:t xml:space="preserve">are based on the main theme of belief as his intention is to save and strengthen people’s belief in God </w:t>
      </w:r>
      <w:r w:rsidR="00A02014" w:rsidRPr="00AE337C">
        <w:rPr>
          <w:rFonts w:eastAsia="Calibri" w:cstheme="minorHAnsi"/>
          <w:bCs/>
          <w:lang w:val="en-US"/>
        </w:rPr>
        <w:fldChar w:fldCharType="begin" w:fldLock="1"/>
      </w:r>
      <w:r w:rsidRPr="00AE337C">
        <w:rPr>
          <w:rFonts w:eastAsia="Calibri" w:cstheme="minorHAnsi"/>
          <w:bCs/>
          <w:lang w:val="en-US"/>
        </w:rPr>
        <w:instrText>ADDIN CSL_CITATION { "citationItems" : [ { "id" : "ITEM-1", "itemData" : { "author" : [ { "dropping-particle" : "", "family" : "Vahide", "given" : "Sukran", "non-dropping-particle" : "", "parse-names" : false, "suffix" : "" } ], "chapter-number" : "1", "container-title" : "Spiritual Dimensions of Bediuzzaman Said Nursi's Risale-I Nur", "editor" : [ { "dropping-particle" : "", "family" : "M.Sbu-Rabi", "given" : "Ibrahim", "non-dropping-particle" : "", "parse-names" : false, "suffix" : "" } ], "id" : "ITEM-1", "issued" : { "date-parts" : [ [ "2008" ] ] }, "publisher" : "State University of New York Press", "publisher-place" : "New York", "title" : "A Survey of the main spiritual themes of the Risale-i Nur", "type" : "chapter" }, "uris" : [ "http://www.mendeley.com/documents/?uuid=ea9038c3-b64a-4d74-9f42-72512292aad3" ] } ], "mendeley" : { "formattedCitation" : "(S. Vahide, 2008)", "manualFormatting" : "(Vahide, 2008)", "plainTextFormattedCitation" : "(S. Vahide, 2008)", "previouslyFormattedCitation" : "(S. Vahide, 2008)" }, "properties" : { "noteIndex" : 0 }, "schema" : "https://github.com/citation-style-language/schema/raw/master/csl-citation.json" }</w:instrText>
      </w:r>
      <w:r w:rsidR="00A02014" w:rsidRPr="00AE337C">
        <w:rPr>
          <w:rFonts w:eastAsia="Calibri" w:cstheme="minorHAnsi"/>
          <w:bCs/>
          <w:lang w:val="en-US"/>
        </w:rPr>
        <w:fldChar w:fldCharType="separate"/>
      </w:r>
      <w:r w:rsidRPr="00AE337C">
        <w:rPr>
          <w:rFonts w:eastAsia="Calibri" w:cstheme="minorHAnsi"/>
          <w:bCs/>
          <w:noProof/>
          <w:lang w:val="en-US"/>
        </w:rPr>
        <w:t>(Vahide, 2008)</w:t>
      </w:r>
      <w:r w:rsidR="00A02014" w:rsidRPr="00AE337C">
        <w:rPr>
          <w:rFonts w:eastAsia="Calibri" w:cstheme="minorHAnsi"/>
          <w:bCs/>
          <w:lang w:val="en-US"/>
        </w:rPr>
        <w:fldChar w:fldCharType="end"/>
      </w:r>
      <w:r w:rsidRPr="00AE337C">
        <w:rPr>
          <w:rFonts w:eastAsia="Calibri" w:cstheme="minorHAnsi"/>
          <w:bCs/>
          <w:lang w:val="en-US"/>
        </w:rPr>
        <w:t>.</w:t>
      </w:r>
    </w:p>
    <w:p w:rsidR="00D308E2" w:rsidRPr="00AE337C" w:rsidRDefault="00D308E2" w:rsidP="00AE337C">
      <w:pPr>
        <w:spacing w:after="120" w:line="240" w:lineRule="auto"/>
        <w:ind w:firstLine="567"/>
        <w:jc w:val="both"/>
        <w:rPr>
          <w:rFonts w:eastAsia="Calibri" w:cstheme="minorHAnsi"/>
          <w:bCs/>
          <w:lang w:val="en-US"/>
        </w:rPr>
      </w:pPr>
      <w:r w:rsidRPr="00AE337C">
        <w:rPr>
          <w:rFonts w:eastAsia="Times New Roman" w:cstheme="minorHAnsi"/>
          <w:lang w:val="en-US" w:eastAsia="en-GB"/>
        </w:rPr>
        <w:t xml:space="preserve">‘Positive action’ </w:t>
      </w:r>
      <w:r w:rsidRPr="00AE337C">
        <w:rPr>
          <w:rFonts w:eastAsia="Calibri" w:cstheme="minorHAnsi"/>
          <w:lang w:val="en-US"/>
        </w:rPr>
        <w:t>(</w:t>
      </w:r>
      <w:proofErr w:type="spellStart"/>
      <w:r w:rsidRPr="00AE337C">
        <w:rPr>
          <w:rFonts w:eastAsia="Calibri" w:cstheme="minorHAnsi"/>
          <w:i/>
          <w:lang w:val="en-US"/>
        </w:rPr>
        <w:t>musbet</w:t>
      </w:r>
      <w:proofErr w:type="spellEnd"/>
      <w:r w:rsidR="004F2E04" w:rsidRPr="00AE337C">
        <w:rPr>
          <w:rFonts w:eastAsia="Calibri" w:cstheme="minorHAnsi"/>
          <w:i/>
          <w:lang w:val="en-US"/>
        </w:rPr>
        <w:t xml:space="preserve"> </w:t>
      </w:r>
      <w:proofErr w:type="spellStart"/>
      <w:r w:rsidRPr="00AE337C">
        <w:rPr>
          <w:rFonts w:eastAsia="Calibri" w:cstheme="minorHAnsi"/>
          <w:i/>
          <w:lang w:val="en-US"/>
        </w:rPr>
        <w:t>hareket</w:t>
      </w:r>
      <w:proofErr w:type="spellEnd"/>
      <w:r w:rsidRPr="00AE337C">
        <w:rPr>
          <w:rFonts w:eastAsia="Calibri" w:cstheme="minorHAnsi"/>
          <w:lang w:val="en-US"/>
        </w:rPr>
        <w:t xml:space="preserve">) refers to </w:t>
      </w:r>
      <w:proofErr w:type="spellStart"/>
      <w:r w:rsidRPr="00AE337C">
        <w:rPr>
          <w:rFonts w:eastAsia="Times New Roman" w:cstheme="minorHAnsi"/>
          <w:lang w:val="en-US" w:eastAsia="en-GB"/>
        </w:rPr>
        <w:t>Nursi’s</w:t>
      </w:r>
      <w:proofErr w:type="spellEnd"/>
      <w:r w:rsidRPr="00AE337C">
        <w:rPr>
          <w:rFonts w:eastAsia="Times New Roman" w:cstheme="minorHAnsi"/>
          <w:lang w:val="en-US" w:eastAsia="en-GB"/>
        </w:rPr>
        <w:t xml:space="preserve"> lifelon</w:t>
      </w:r>
      <w:r w:rsidR="0014181B" w:rsidRPr="00AE337C">
        <w:rPr>
          <w:rFonts w:eastAsia="Times New Roman" w:cstheme="minorHAnsi"/>
          <w:lang w:val="en-US" w:eastAsia="en-GB"/>
        </w:rPr>
        <w:t xml:space="preserve">g principle which he practices </w:t>
      </w:r>
      <w:r w:rsidRPr="00AE337C">
        <w:rPr>
          <w:rFonts w:eastAsia="Times New Roman" w:cstheme="minorHAnsi"/>
          <w:lang w:val="en-US" w:eastAsia="en-GB"/>
        </w:rPr>
        <w:t xml:space="preserve">based on knowledge, learning, persuasion, love, compassion to convey the message of truth in order to bring people to God’s pleasure as a means of eternal happiness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"Basar", "given" : "Al\u00e2addin", "non-dropping-particle" : "", "parse-names" : false, "suffix" : "" } ], "container-title" : "International Bedi\u00fczzaman Symposium Papers in Turkey (English)", "id" : "ITEM-1", "issued" : { "date-parts" : [ [ "1995" ] ] }, "title" : "A Lifelong Principle: Positive Action", "type" : "article-journal" }, "uris" : [ "http://www.mendeley.com/documents/?uuid=4b7acae2-ac32-4483-a6ba-6e281f1d044d" ] } ], "mendeley" : { "formattedCitation" : "(Basar, 1995)", "plainTextFormattedCitation" : "(Basar, 1995)", "previouslyFormattedCitation" : "(Basar, 1995)"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(Basar, 1995)</w:t>
      </w:r>
      <w:r w:rsidR="00A02014" w:rsidRPr="00AE337C">
        <w:rPr>
          <w:rFonts w:eastAsia="Times New Roman" w:cstheme="minorHAnsi"/>
          <w:lang w:val="en-US" w:eastAsia="en-GB"/>
        </w:rPr>
        <w:fldChar w:fldCharType="end"/>
      </w:r>
      <w:r w:rsidRPr="00AE337C">
        <w:rPr>
          <w:rFonts w:eastAsia="Times New Roman" w:cstheme="minorHAnsi"/>
          <w:lang w:val="en-US" w:eastAsia="en-GB"/>
        </w:rPr>
        <w:t>.</w:t>
      </w:r>
      <w:proofErr w:type="spellStart"/>
      <w:r w:rsidRPr="00AE337C">
        <w:rPr>
          <w:rFonts w:eastAsia="Times New Roman" w:cstheme="minorHAnsi"/>
          <w:lang w:val="en-US" w:eastAsia="en-GB"/>
        </w:rPr>
        <w:t>Nursi’s</w:t>
      </w:r>
      <w:proofErr w:type="spellEnd"/>
      <w:r w:rsidRPr="00AE337C">
        <w:rPr>
          <w:rFonts w:eastAsia="Times New Roman" w:cstheme="minorHAnsi"/>
          <w:lang w:val="en-US" w:eastAsia="en-GB"/>
        </w:rPr>
        <w:t xml:space="preserve"> appeals to his audience </w:t>
      </w:r>
      <w:proofErr w:type="spellStart"/>
      <w:r w:rsidRPr="00AE337C">
        <w:rPr>
          <w:rFonts w:eastAsia="Times New Roman" w:cstheme="minorHAnsi"/>
          <w:lang w:val="en-US" w:eastAsia="en-GB"/>
        </w:rPr>
        <w:t>arebased</w:t>
      </w:r>
      <w:proofErr w:type="spellEnd"/>
      <w:r w:rsidRPr="00AE337C">
        <w:rPr>
          <w:rFonts w:eastAsia="Times New Roman" w:cstheme="minorHAnsi"/>
          <w:lang w:val="en-US" w:eastAsia="en-GB"/>
        </w:rPr>
        <w:t xml:space="preserve"> on a persuasive mood as he mentions that the </w:t>
      </w:r>
      <w:proofErr w:type="spellStart"/>
      <w:r w:rsidRPr="00AE337C">
        <w:rPr>
          <w:rFonts w:eastAsia="Times New Roman" w:cstheme="minorHAnsi"/>
          <w:i/>
          <w:lang w:val="en-US" w:eastAsia="en-GB"/>
        </w:rPr>
        <w:t>Risale-</w:t>
      </w:r>
      <w:r w:rsidR="004F2E04" w:rsidRPr="00AE337C">
        <w:rPr>
          <w:rFonts w:eastAsia="Times New Roman" w:cstheme="minorHAnsi"/>
          <w:i/>
          <w:lang w:val="en-US" w:eastAsia="en-GB"/>
        </w:rPr>
        <w:t>i</w:t>
      </w:r>
      <w:proofErr w:type="spellEnd"/>
      <w:r w:rsidR="004F2E04" w:rsidRPr="00AE337C">
        <w:rPr>
          <w:rFonts w:eastAsia="Times New Roman" w:cstheme="minorHAnsi"/>
          <w:i/>
          <w:lang w:val="en-US" w:eastAsia="en-GB"/>
        </w:rPr>
        <w:t xml:space="preserve"> </w:t>
      </w:r>
      <w:r w:rsidRPr="00AE337C">
        <w:rPr>
          <w:rFonts w:eastAsia="Times New Roman" w:cstheme="minorHAnsi"/>
          <w:i/>
          <w:lang w:val="en-US" w:eastAsia="en-GB"/>
        </w:rPr>
        <w:t>Nur’s</w:t>
      </w:r>
      <w:r w:rsidR="004F2E04" w:rsidRPr="00AE337C">
        <w:rPr>
          <w:rFonts w:eastAsia="Times New Roman" w:cstheme="minorHAnsi"/>
          <w:i/>
          <w:lang w:val="en-US" w:eastAsia="en-GB"/>
        </w:rPr>
        <w:t xml:space="preserve"> </w:t>
      </w:r>
      <w:r w:rsidRPr="00AE337C">
        <w:rPr>
          <w:rFonts w:eastAsia="Times New Roman" w:cstheme="minorHAnsi"/>
          <w:lang w:val="en-US" w:eastAsia="en-GB"/>
        </w:rPr>
        <w:t xml:space="preserve">way  is  mild, polite and persuasive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"Nursi", "given" : "Bediuzzaman Said", "non-dropping-particle" : "", "parse-names" : false, "suffix" : "" } ], "id" : "ITEM-1", "issued" : { "date-parts" : [ [ "2011" ] ] }, "publisher" : "Sozler Nesriyat Tic.ve San.A.S", "publisher-place" : "Istanbul, Turkey", "title" : "The Flashes (Turkish Lem\u2019alar, Sukran Vahide, Trans)", "type" : "book" }, "uris" : [ "http://www.mendeley.com/documents/?uuid=eec872e5-7f9a-441b-854d-81cafefb7620" ] } ], "mendeley" : { "formattedCitation" : "(Nursi, 2011b)", "plainTextFormattedCitation" : "(Nursi, 2011b)", "previouslyFormattedCitation" : "(Nursi, 2011b)"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(Nursi, 2011b)</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w:t>
      </w:r>
    </w:p>
    <w:p w:rsidR="00D308E2" w:rsidRPr="00AE337C" w:rsidRDefault="00D308E2" w:rsidP="00AE337C">
      <w:pPr>
        <w:spacing w:after="120" w:line="240" w:lineRule="auto"/>
        <w:ind w:firstLine="567"/>
        <w:jc w:val="both"/>
        <w:rPr>
          <w:rFonts w:eastAsia="Calibri" w:cstheme="minorHAnsi"/>
          <w:lang w:val="en-US"/>
        </w:rPr>
      </w:pPr>
      <w:proofErr w:type="spellStart"/>
      <w:r w:rsidRPr="00AE337C">
        <w:rPr>
          <w:rFonts w:eastAsia="Times New Roman" w:cstheme="minorHAnsi"/>
          <w:lang w:val="en-US" w:eastAsia="en-GB"/>
        </w:rPr>
        <w:t>Nursi</w:t>
      </w:r>
      <w:proofErr w:type="spellEnd"/>
      <w:r w:rsidRPr="00AE337C">
        <w:rPr>
          <w:rFonts w:eastAsia="Times New Roman" w:cstheme="minorHAnsi"/>
          <w:lang w:val="en-US" w:eastAsia="en-GB"/>
        </w:rPr>
        <w:t xml:space="preserve"> wrote the instructions of the principle of ‘positive action’ for his followers in his last letter </w:t>
      </w:r>
      <w:r w:rsidRPr="00AE337C">
        <w:rPr>
          <w:rFonts w:eastAsia="Calibri" w:cstheme="minorHAnsi"/>
          <w:lang w:val="en-US"/>
        </w:rPr>
        <w:t>(</w:t>
      </w:r>
      <w:proofErr w:type="spellStart"/>
      <w:r w:rsidRPr="00AE337C">
        <w:rPr>
          <w:rFonts w:eastAsia="Calibri" w:cstheme="minorHAnsi"/>
          <w:i/>
          <w:lang w:val="en-US"/>
        </w:rPr>
        <w:t>Emirdag</w:t>
      </w:r>
      <w:proofErr w:type="spellEnd"/>
      <w:r w:rsidR="004F2E04" w:rsidRPr="00AE337C">
        <w:rPr>
          <w:rFonts w:eastAsia="Calibri" w:cstheme="minorHAnsi"/>
          <w:i/>
          <w:lang w:val="en-US"/>
        </w:rPr>
        <w:t xml:space="preserve"> </w:t>
      </w:r>
      <w:proofErr w:type="spellStart"/>
      <w:r w:rsidRPr="00AE337C">
        <w:rPr>
          <w:rFonts w:eastAsia="Calibri" w:cstheme="minorHAnsi"/>
          <w:i/>
          <w:lang w:val="en-US"/>
        </w:rPr>
        <w:t>Lahikasi</w:t>
      </w:r>
      <w:proofErr w:type="spellEnd"/>
      <w:r w:rsidRPr="00AE337C">
        <w:rPr>
          <w:rFonts w:eastAsia="Calibri" w:cstheme="minorHAnsi"/>
          <w:i/>
          <w:lang w:val="en-US"/>
        </w:rPr>
        <w:t xml:space="preserve"> II</w:t>
      </w:r>
      <w:r w:rsidRPr="00AE337C">
        <w:rPr>
          <w:rFonts w:eastAsia="Calibri" w:cstheme="minorHAnsi"/>
          <w:lang w:val="en-US"/>
        </w:rPr>
        <w:t>) before his death in 1960</w:t>
      </w:r>
      <w:r w:rsidR="004F2E04" w:rsidRPr="00AE337C">
        <w:rPr>
          <w:rFonts w:eastAsia="Calibri" w:cstheme="minorHAnsi"/>
          <w:lang w:val="en-US"/>
        </w:rPr>
        <w:t xml:space="preserve">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"Basar", "given" : "Al\u00e2addin", "non-dropping-particle" : "", "parse-names" : false, "suffix" : "" } ], "container-title" : "International Bedi\u00fczzaman Symposium Papers in Turkey (English)", "id" : "ITEM-1", "issued" : { "date-parts" : [ [ "1995" ] ] }, "title" : "A Lifelong Principle: Positive Action", "type" : "article-journal" }, "uris" : [ "http://www.mendeley.com/documents/?uuid=4b7acae2-ac32-4483-a6ba-6e281f1d044d" ] } ], "mendeley" : { "formattedCitation" : "(Basar, 1995)", "plainTextFormattedCitation" : "(Basar, 1995)", "previouslyFormattedCitation" : "(Basar, 1995)"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(Basar, 1995)</w:t>
      </w:r>
      <w:r w:rsidR="00A02014" w:rsidRPr="00AE337C">
        <w:rPr>
          <w:rFonts w:eastAsia="Calibri" w:cstheme="minorHAnsi"/>
          <w:lang w:val="en-US"/>
        </w:rPr>
        <w:fldChar w:fldCharType="end"/>
      </w:r>
      <w:r w:rsidRPr="00AE337C">
        <w:rPr>
          <w:rFonts w:eastAsia="Calibri" w:cstheme="minorHAnsi"/>
          <w:lang w:val="en-US"/>
        </w:rPr>
        <w:t xml:space="preserve">.  </w:t>
      </w:r>
      <w:proofErr w:type="spellStart"/>
      <w:r w:rsidRPr="00AE337C">
        <w:rPr>
          <w:rFonts w:eastAsia="Calibri" w:cstheme="minorHAnsi"/>
          <w:lang w:val="en-US"/>
        </w:rPr>
        <w:t>Hecalls</w:t>
      </w:r>
      <w:proofErr w:type="spellEnd"/>
      <w:r w:rsidRPr="00AE337C">
        <w:rPr>
          <w:rFonts w:eastAsia="Calibri" w:cstheme="minorHAnsi"/>
          <w:lang w:val="en-US"/>
        </w:rPr>
        <w:t xml:space="preserve"> his audience to adhere to the principle of ‘positive action’ as its concept is a method of service based on belief. </w:t>
      </w:r>
      <w:proofErr w:type="spellStart"/>
      <w:r w:rsidRPr="00AE337C">
        <w:rPr>
          <w:rFonts w:eastAsia="Times New Roman" w:cstheme="minorHAnsi"/>
          <w:lang w:val="en-US" w:eastAsia="en-GB"/>
        </w:rPr>
        <w:t>Nursi</w:t>
      </w:r>
      <w:proofErr w:type="spellEnd"/>
      <w:r w:rsidRPr="00AE337C">
        <w:rPr>
          <w:rFonts w:eastAsia="Times New Roman" w:cstheme="minorHAnsi"/>
          <w:lang w:val="en-US" w:eastAsia="en-GB"/>
        </w:rPr>
        <w:t xml:space="preserve"> uses ‘positive action’ as a method of patient struggle</w:t>
      </w:r>
      <w:r w:rsidRPr="00AE337C">
        <w:rPr>
          <w:rFonts w:eastAsia="Calibri" w:cstheme="minorHAnsi"/>
          <w:lang w:val="en-US"/>
        </w:rPr>
        <w:t xml:space="preserve"> (</w:t>
      </w:r>
      <w:r w:rsidRPr="00AE337C">
        <w:rPr>
          <w:rFonts w:eastAsia="Calibri" w:cstheme="minorHAnsi"/>
          <w:i/>
          <w:lang w:val="en-US"/>
        </w:rPr>
        <w:t>jihad</w:t>
      </w:r>
      <w:r w:rsidRPr="00AE337C">
        <w:rPr>
          <w:rFonts w:eastAsia="Calibri" w:cstheme="minorHAnsi"/>
          <w:lang w:val="en-US"/>
        </w:rPr>
        <w:t>) of the word which is spiritual struggle (</w:t>
      </w:r>
      <w:proofErr w:type="spellStart"/>
      <w:r w:rsidRPr="00AE337C">
        <w:rPr>
          <w:rFonts w:eastAsia="Calibri" w:cstheme="minorHAnsi"/>
          <w:i/>
          <w:lang w:val="en-US"/>
        </w:rPr>
        <w:t>manevi</w:t>
      </w:r>
      <w:proofErr w:type="spellEnd"/>
      <w:r w:rsidR="004F2E04" w:rsidRPr="00AE337C">
        <w:rPr>
          <w:rFonts w:eastAsia="Calibri" w:cstheme="minorHAnsi"/>
          <w:i/>
          <w:lang w:val="en-US"/>
        </w:rPr>
        <w:t xml:space="preserve"> </w:t>
      </w:r>
      <w:proofErr w:type="spellStart"/>
      <w:r w:rsidRPr="00AE337C">
        <w:rPr>
          <w:rFonts w:eastAsia="Calibri" w:cstheme="minorHAnsi"/>
          <w:i/>
          <w:lang w:val="en-US"/>
        </w:rPr>
        <w:t>cihad</w:t>
      </w:r>
      <w:proofErr w:type="spellEnd"/>
      <w:r w:rsidRPr="00AE337C">
        <w:rPr>
          <w:rFonts w:eastAsia="Calibri" w:cstheme="minorHAnsi"/>
          <w:lang w:val="en-US"/>
        </w:rPr>
        <w:t>)</w:t>
      </w:r>
      <w:r w:rsidRPr="00AE337C">
        <w:rPr>
          <w:rFonts w:eastAsia="Times New Roman" w:cstheme="minorHAnsi"/>
          <w:lang w:val="en-US" w:eastAsia="en-GB"/>
        </w:rPr>
        <w:t xml:space="preserve"> in order </w:t>
      </w:r>
      <w:r w:rsidRPr="00AE337C">
        <w:rPr>
          <w:rFonts w:eastAsia="Calibri" w:cstheme="minorHAnsi"/>
          <w:lang w:val="en-US"/>
        </w:rPr>
        <w:t xml:space="preserve">to save and strengthen belief in God and the other truths of </w:t>
      </w:r>
      <w:r w:rsidRPr="00AE337C">
        <w:rPr>
          <w:rFonts w:eastAsia="Calibri" w:cstheme="minorHAnsi"/>
          <w:lang w:val="en-US"/>
        </w:rPr>
        <w:lastRenderedPageBreak/>
        <w:t xml:space="preserve">religion by peaceful means </w:t>
      </w:r>
      <w:r w:rsidR="00A02014" w:rsidRPr="00AE337C">
        <w:rPr>
          <w:rFonts w:eastAsia="Calibri" w:cstheme="minorHAnsi"/>
          <w:b/>
          <w:lang w:val="en-US"/>
        </w:rPr>
        <w:fldChar w:fldCharType="begin" w:fldLock="1"/>
      </w:r>
      <w:r w:rsidRPr="00AE337C">
        <w:rPr>
          <w:rFonts w:eastAsia="Calibri" w:cstheme="minorHAnsi"/>
          <w:b/>
          <w:lang w:val="en-US"/>
        </w:rPr>
        <w:instrText>ADDIN CSL_CITATION { "citationItems" : [ { "id" : "ITEM-1", "itemData" : { "author" : [ { "dropping-particle" : "", "family" : "Vahide", "given" : "\u015eukran", "non-dropping-particle" : "", "parse-names" : false, "suffix" : "" } ], "editor" : [ { "dropping-particle" : "", "family" : "Rabi\u2019", "given" : "Ibrahim M.Abu", "non-dropping-particle" : "", "parse-names" : false, "suffix" : "" } ], "id" : "ITEM-1", "issued" : { "date-parts" : [ [ "2012" ] ] }, "publisher" : "Suny Press", "title" : "Islam in Modern Turkey: An Intellectual Biography of Bediuzzaman Said Nursi", "type" : "book" }, "uris" : [ "http://www.mendeley.com/documents/?uuid=097e8480-2e46-434f-b57f-d8fdefbd8b82" ] } ], "mendeley" : { "formattedCitation" : "(\u015e. Vahide, 2012)", "manualFormatting" : "(Vahide, 2012)", "plainTextFormattedCitation" : "(\u015e. Vahide, 2012)", "previouslyFormattedCitation" : "(\u015e. Vahide, 2012)" }, "properties" : { "noteIndex" : 0 }, "schema" : "https://github.com/citation-style-language/schema/raw/master/csl-citation.json" }</w:instrText>
      </w:r>
      <w:r w:rsidR="00A02014" w:rsidRPr="00AE337C">
        <w:rPr>
          <w:rFonts w:eastAsia="Calibri" w:cstheme="minorHAnsi"/>
          <w:b/>
          <w:lang w:val="en-US"/>
        </w:rPr>
        <w:fldChar w:fldCharType="separate"/>
      </w:r>
      <w:r w:rsidRPr="00AE337C">
        <w:rPr>
          <w:rFonts w:eastAsia="Calibri" w:cstheme="minorHAnsi"/>
          <w:noProof/>
          <w:lang w:val="en-US"/>
        </w:rPr>
        <w:t>(Vahide, 2012)</w:t>
      </w:r>
      <w:r w:rsidR="00A02014" w:rsidRPr="00AE337C">
        <w:rPr>
          <w:rFonts w:eastAsia="Calibri" w:cstheme="minorHAnsi"/>
          <w:b/>
          <w:lang w:val="en-US"/>
        </w:rPr>
        <w:fldChar w:fldCharType="end"/>
      </w:r>
      <w:r w:rsidRPr="00AE337C">
        <w:rPr>
          <w:rFonts w:eastAsia="Calibri" w:cstheme="minorHAnsi"/>
          <w:b/>
          <w:lang w:val="en-US"/>
        </w:rPr>
        <w:t xml:space="preserve">. </w:t>
      </w:r>
      <w:r w:rsidRPr="00AE337C">
        <w:rPr>
          <w:rFonts w:eastAsia="Calibri" w:cstheme="minorHAnsi"/>
          <w:lang w:val="en-US"/>
        </w:rPr>
        <w:t xml:space="preserve">Thus, his constructive method is for the preservation of internal order, peace and stability in society for moral and spiritual progress by avoiding destruction. </w:t>
      </w:r>
      <w:proofErr w:type="spellStart"/>
      <w:r w:rsidRPr="00AE337C">
        <w:rPr>
          <w:rFonts w:eastAsia="Calibri" w:cstheme="minorHAnsi"/>
          <w:lang w:val="en-US"/>
        </w:rPr>
        <w:t>Nursi</w:t>
      </w:r>
      <w:proofErr w:type="spellEnd"/>
      <w:r w:rsidRPr="00AE337C">
        <w:rPr>
          <w:rFonts w:eastAsia="Calibri" w:cstheme="minorHAnsi"/>
          <w:lang w:val="en-US"/>
        </w:rPr>
        <w:t xml:space="preserve"> strongly </w:t>
      </w:r>
      <w:proofErr w:type="spellStart"/>
      <w:r w:rsidRPr="00AE337C">
        <w:rPr>
          <w:rFonts w:eastAsia="Calibri" w:cstheme="minorHAnsi"/>
          <w:lang w:val="en-US"/>
        </w:rPr>
        <w:t>practises</w:t>
      </w:r>
      <w:proofErr w:type="spellEnd"/>
      <w:r w:rsidRPr="00AE337C">
        <w:rPr>
          <w:rFonts w:eastAsia="Calibri" w:cstheme="minorHAnsi"/>
          <w:lang w:val="en-US"/>
        </w:rPr>
        <w:t xml:space="preserve"> the principle of ‘positive action’ even in hopeless situations and within absolute despair and desolation and also appeals to his students to implement it</w:t>
      </w:r>
      <w:r w:rsidR="0014181B" w:rsidRPr="00AE337C">
        <w:rPr>
          <w:rFonts w:eastAsia="Calibri" w:cstheme="minorHAnsi"/>
          <w:lang w:val="en-US"/>
        </w:rPr>
        <w:t xml:space="preserve"> </w:t>
      </w:r>
      <w:r w:rsidR="00A02014" w:rsidRPr="00AE337C">
        <w:rPr>
          <w:rFonts w:eastAsia="Calibri" w:cstheme="minorHAnsi"/>
          <w:lang w:val="en-US"/>
        </w:rPr>
        <w:fldChar w:fldCharType="begin" w:fldLock="1"/>
      </w:r>
      <w:r w:rsidRPr="00AE337C">
        <w:rPr>
          <w:rFonts w:eastAsia="Calibri" w:cstheme="minorHAnsi"/>
          <w:lang w:val="en-US"/>
        </w:rPr>
        <w:instrText>ADDIN CSL_CITATION { "citationItems" : [ { "id" : "ITEM-1", "itemData" : { "author" : [ { "dropping-particle" : "", "family" : "Sayilgan", "given" : "Mehmet Salih", "non-dropping-particle" : "", "parse-names" : false, "suffix" : "" } ], "id" : "ITEM-1", "issued" : { "date-parts" : [ [ "2012" ] ] }, "publisher" : "University of Alberta, Canada", "title" : "Constructing an Islamic Ethics of Non-Violence: The Case of Bediuzzaman Said Nursi", "type" : "thesis" }, "uris" : [ "http://www.mendeley.com/documents/?uuid=ddde6021-2d49-43a8-9f5f-6f35201a2566" ] } ], "mendeley" : { "formattedCitation" : "(Sayilgan, 2012)", "plainTextFormattedCitation" : "(Sayilgan, 2012)", "previouslyFormattedCitation" : "(Sayilgan, 2012)" }, "properties" : { "noteIndex" : 0 }, "schema" : "https://github.com/citation-style-language/schema/raw/master/csl-citation.json" }</w:instrText>
      </w:r>
      <w:r w:rsidR="00A02014" w:rsidRPr="00AE337C">
        <w:rPr>
          <w:rFonts w:eastAsia="Calibri" w:cstheme="minorHAnsi"/>
          <w:lang w:val="en-US"/>
        </w:rPr>
        <w:fldChar w:fldCharType="separate"/>
      </w:r>
      <w:r w:rsidRPr="00AE337C">
        <w:rPr>
          <w:rFonts w:eastAsia="Calibri" w:cstheme="minorHAnsi"/>
          <w:noProof/>
          <w:lang w:val="en-US"/>
        </w:rPr>
        <w:t>(Sayilgan, 2012)</w:t>
      </w:r>
      <w:r w:rsidR="00A02014" w:rsidRPr="00AE337C">
        <w:rPr>
          <w:rFonts w:eastAsia="Calibri" w:cstheme="minorHAnsi"/>
          <w:lang w:val="en-US"/>
        </w:rPr>
        <w:fldChar w:fldCharType="end"/>
      </w:r>
      <w:r w:rsidRPr="00AE337C">
        <w:rPr>
          <w:rFonts w:eastAsia="Calibri" w:cstheme="minorHAnsi"/>
          <w:lang w:val="en-US"/>
        </w:rPr>
        <w:t xml:space="preserve">. </w:t>
      </w:r>
    </w:p>
    <w:p w:rsidR="00D308E2" w:rsidRPr="00AE337C" w:rsidRDefault="00D308E2" w:rsidP="00AE337C">
      <w:pPr>
        <w:spacing w:after="120" w:line="240" w:lineRule="auto"/>
        <w:ind w:firstLine="567"/>
        <w:jc w:val="both"/>
        <w:rPr>
          <w:rFonts w:eastAsia="Times New Roman" w:cstheme="minorHAnsi"/>
          <w:lang w:val="en-US" w:eastAsia="en-GB"/>
        </w:rPr>
      </w:pPr>
      <w:r w:rsidRPr="00AE337C">
        <w:rPr>
          <w:rFonts w:eastAsia="Times New Roman" w:cstheme="minorHAnsi"/>
          <w:lang w:val="en-US" w:eastAsia="en-GB"/>
        </w:rPr>
        <w:t xml:space="preserve">The solution of six ‘Words’ that </w:t>
      </w:r>
      <w:proofErr w:type="spellStart"/>
      <w:r w:rsidRPr="00AE337C">
        <w:rPr>
          <w:rFonts w:eastAsia="Times New Roman" w:cstheme="minorHAnsi"/>
          <w:lang w:val="en-US" w:eastAsia="en-GB"/>
        </w:rPr>
        <w:t>Nursi</w:t>
      </w:r>
      <w:proofErr w:type="spellEnd"/>
      <w:r w:rsidRPr="00AE337C">
        <w:rPr>
          <w:rFonts w:eastAsia="Times New Roman" w:cstheme="minorHAnsi"/>
          <w:lang w:val="en-US" w:eastAsia="en-GB"/>
        </w:rPr>
        <w:t xml:space="preserve"> provides consists of the virtues of hope, courage, truthfulness, love, solidarity and sincerity</w:t>
      </w:r>
      <w:r w:rsidR="007800E1" w:rsidRPr="00AE337C">
        <w:rPr>
          <w:rFonts w:eastAsia="Times New Roman" w:cstheme="minorHAnsi"/>
          <w:lang w:val="en-US" w:eastAsia="en-GB"/>
        </w:rPr>
        <w:t xml:space="preserve">. </w:t>
      </w:r>
      <w:r w:rsidRPr="00AE337C">
        <w:rPr>
          <w:rFonts w:eastAsia="Times New Roman" w:cstheme="minorHAnsi"/>
          <w:lang w:val="en-US" w:eastAsia="en-GB"/>
        </w:rPr>
        <w:t xml:space="preserve">They are theological virtues which are also universal. They </w:t>
      </w:r>
      <w:r w:rsidRPr="00AE337C">
        <w:rPr>
          <w:rFonts w:eastAsia="Calibri" w:cstheme="minorHAnsi"/>
          <w:color w:val="231F20"/>
          <w:lang w:val="en-US"/>
        </w:rPr>
        <w:t>are based on the truths of belief as they are moral virtues.</w:t>
      </w:r>
      <w:r w:rsidR="0014181B" w:rsidRPr="00AE337C">
        <w:rPr>
          <w:rFonts w:eastAsia="Calibri" w:cstheme="minorHAnsi"/>
          <w:color w:val="231F20"/>
          <w:lang w:val="en-US"/>
        </w:rPr>
        <w:t xml:space="preserve"> </w:t>
      </w:r>
      <w:proofErr w:type="spellStart"/>
      <w:r w:rsidRPr="00AE337C">
        <w:rPr>
          <w:rFonts w:eastAsia="Times New Roman" w:cstheme="minorHAnsi"/>
          <w:lang w:val="en-US" w:eastAsia="en-GB"/>
        </w:rPr>
        <w:t>Nursi</w:t>
      </w:r>
      <w:proofErr w:type="spellEnd"/>
      <w:r w:rsidRPr="00AE337C">
        <w:rPr>
          <w:rFonts w:eastAsia="Times New Roman" w:cstheme="minorHAnsi"/>
          <w:lang w:val="en-US" w:eastAsia="en-GB"/>
        </w:rPr>
        <w:t xml:space="preserve"> states the first ‘Word,’ hope directly to his audience, but the other five ‘Words’ are implied. It reveals that </w:t>
      </w:r>
      <w:proofErr w:type="spellStart"/>
      <w:r w:rsidRPr="00AE337C">
        <w:rPr>
          <w:rFonts w:eastAsia="Times New Roman" w:cstheme="minorHAnsi"/>
          <w:lang w:val="en-US" w:eastAsia="en-GB"/>
        </w:rPr>
        <w:t>Nursi</w:t>
      </w:r>
      <w:proofErr w:type="spellEnd"/>
      <w:r w:rsidRPr="00AE337C">
        <w:rPr>
          <w:rFonts w:eastAsia="Times New Roman" w:cstheme="minorHAnsi"/>
          <w:lang w:val="en-US" w:eastAsia="en-GB"/>
        </w:rPr>
        <w:t xml:space="preserve"> is focusing on the positive causes of the solutions and as he elaborates the constraints and the fitting responses, he wishes to engage his audience with the meaning of the words. </w:t>
      </w:r>
      <w:proofErr w:type="spellStart"/>
      <w:r w:rsidRPr="00AE337C">
        <w:rPr>
          <w:rFonts w:eastAsia="Times New Roman" w:cstheme="minorHAnsi"/>
          <w:lang w:val="en-US" w:eastAsia="en-GB"/>
        </w:rPr>
        <w:t>Nursi</w:t>
      </w:r>
      <w:proofErr w:type="spellEnd"/>
      <w:r w:rsidRPr="00AE337C">
        <w:rPr>
          <w:rFonts w:eastAsia="Times New Roman" w:cstheme="minorHAnsi"/>
          <w:lang w:val="en-US" w:eastAsia="en-GB"/>
        </w:rPr>
        <w:t xml:space="preserve"> calls his audience to concentrate on the meaning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"ISBN" : "9781597841290", "author" : [ { "dropping-particle" : "", "family" : "Nursi", "given" : "Bediuzzaman Said", "non-dropping-particle" : "", "parse-names" : false, "suffix" : "" } ], "id" : "ITEM-1", "issued" : { "date-parts" : [ [ "2008" ] ] }, "publisher" : "Tugra Books", "publisher-place" : "New Jersey, USA", "title" : "The reasoning (Turkish Muhakemat, Huseyin Akarsu, Trans) (Original work published 1913)", "type" : "book" }, "uris" : [ "http://www.mendeley.com/documents/?uuid=3ca0234e-d27d-4a00-aa37-6722413e97ff" ] } ], "mendeley" : { "formattedCitation" : "(Nursi, 2008a)", "plainTextFormattedCitation" : "(Nursi, 2008a)", "previouslyFormattedCitation" : "(Nursi, 2008a)"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(Nursi, 2008a)</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w:t>
      </w:r>
      <w:r w:rsidRPr="00AE337C">
        <w:rPr>
          <w:rFonts w:eastAsia="Calibri" w:cstheme="minorHAnsi"/>
          <w:bCs/>
          <w:lang w:val="en-US"/>
        </w:rPr>
        <w:t>He provides the solutions in the form of six ‘Words</w:t>
      </w:r>
      <w:r w:rsidR="007800E1" w:rsidRPr="00AE337C">
        <w:rPr>
          <w:rFonts w:eastAsia="Calibri" w:cstheme="minorHAnsi"/>
          <w:bCs/>
          <w:lang w:val="en-US"/>
        </w:rPr>
        <w:t xml:space="preserve">’ as </w:t>
      </w:r>
      <w:r w:rsidRPr="00AE337C">
        <w:rPr>
          <w:rFonts w:eastAsia="Calibri" w:cstheme="minorHAnsi"/>
          <w:bCs/>
          <w:lang w:val="en-US"/>
        </w:rPr>
        <w:t xml:space="preserve">positive truths of Islam which are based on the belief and morality of Islam </w:t>
      </w:r>
      <w:r w:rsidR="00A02014" w:rsidRPr="00AE337C">
        <w:rPr>
          <w:rFonts w:eastAsia="Calibri" w:cstheme="minorHAnsi"/>
          <w:bCs/>
          <w:lang w:val="en-US"/>
        </w:rPr>
        <w:fldChar w:fldCharType="begin" w:fldLock="1"/>
      </w:r>
      <w:r w:rsidRPr="00AE337C">
        <w:rPr>
          <w:rFonts w:eastAsia="Calibri" w:cstheme="minorHAnsi"/>
          <w:bCs/>
          <w:lang w:val="en-US"/>
        </w:rPr>
        <w:instrText>ADDIN CSL_CITATION { "citationItems" : [ { "id" : "ITEM-1", "itemData" : { "author" : [ { "dropping-particle" : "", "family" : "Nursi", "given" : "Bediuzzaman Said", "non-dropping-particle" : "", "parse-names" : false, "suffix" : "" } ], "edition" : "Second (re", "id" : "ITEM-1", "issued" : { "date-parts" : [ [ "2012" ] ] }, "number-of-pages" : "60", "publisher" : "S\u00f6zler Ne\u015friyat A.\u015e. Istanbul. (Original work published 1911)", "publisher-place" : "Istanbul, Turkey", "title" : "The Damascus Sermon From the Risale i Nur Collection Trans (Turkish \u2018Hutbe-i \u015e\u00e2miye', \u015e\u00fckran Vahide,Trans)", "type" : "book" }, "uris" : [ "http://www.mendeley.com/documents/?uuid=602d1853-6690-4119-94fb-c57676b1c9f2" ] } ], "mendeley" : { "formattedCitation" : "(Nursi, 2012)", "plainTextFormattedCitation" : "(Nursi, 2012)", "previouslyFormattedCitation" : "(Nursi, 2012)" }, "properties" : { "noteIndex" : 0 }, "schema" : "https://github.com/citation-style-language/schema/raw/master/csl-citation.json" }</w:instrText>
      </w:r>
      <w:r w:rsidR="00A02014" w:rsidRPr="00AE337C">
        <w:rPr>
          <w:rFonts w:eastAsia="Calibri" w:cstheme="minorHAnsi"/>
          <w:bCs/>
          <w:lang w:val="en-US"/>
        </w:rPr>
        <w:fldChar w:fldCharType="separate"/>
      </w:r>
      <w:r w:rsidRPr="00AE337C">
        <w:rPr>
          <w:rFonts w:eastAsia="Calibri" w:cstheme="minorHAnsi"/>
          <w:bCs/>
          <w:noProof/>
          <w:lang w:val="en-US"/>
        </w:rPr>
        <w:t>(Nursi, 2012)</w:t>
      </w:r>
      <w:r w:rsidR="00A02014" w:rsidRPr="00AE337C">
        <w:rPr>
          <w:rFonts w:eastAsia="Calibri" w:cstheme="minorHAnsi"/>
          <w:bCs/>
          <w:lang w:val="en-US"/>
        </w:rPr>
        <w:fldChar w:fldCharType="end"/>
      </w:r>
      <w:r w:rsidRPr="00AE337C">
        <w:rPr>
          <w:rFonts w:eastAsia="Calibri" w:cstheme="minorHAnsi"/>
          <w:bCs/>
          <w:lang w:val="en-US"/>
        </w:rPr>
        <w:t xml:space="preserve">. In the ‘second addendum-second part’ of the </w:t>
      </w:r>
      <w:r w:rsidRPr="00AE337C">
        <w:rPr>
          <w:rFonts w:eastAsia="Calibri" w:cstheme="minorHAnsi"/>
          <w:bCs/>
          <w:i/>
          <w:lang w:val="en-US"/>
        </w:rPr>
        <w:t>Sermon</w:t>
      </w:r>
      <w:r w:rsidRPr="00AE337C">
        <w:rPr>
          <w:rFonts w:eastAsia="Calibri" w:cstheme="minorHAnsi"/>
          <w:bCs/>
          <w:lang w:val="en-US"/>
        </w:rPr>
        <w:t xml:space="preserve">,  </w:t>
      </w:r>
      <w:proofErr w:type="spellStart"/>
      <w:r w:rsidRPr="00AE337C">
        <w:rPr>
          <w:rFonts w:eastAsia="Calibri" w:cstheme="minorHAnsi"/>
          <w:bCs/>
          <w:lang w:val="en-US"/>
        </w:rPr>
        <w:t>Nursi</w:t>
      </w:r>
      <w:proofErr w:type="spellEnd"/>
      <w:r w:rsidRPr="00AE337C">
        <w:rPr>
          <w:rFonts w:eastAsia="Calibri" w:cstheme="minorHAnsi"/>
          <w:bCs/>
          <w:lang w:val="en-US"/>
        </w:rPr>
        <w:t xml:space="preserve"> mentions that belief comprises affirmation, commitment, surrender and compliance based on positive ideas </w:t>
      </w:r>
      <w:r w:rsidR="00A02014" w:rsidRPr="00AE337C">
        <w:rPr>
          <w:rFonts w:eastAsia="Calibri" w:cstheme="minorHAnsi"/>
          <w:bCs/>
          <w:lang w:val="en-US"/>
        </w:rPr>
        <w:fldChar w:fldCharType="begin" w:fldLock="1"/>
      </w:r>
      <w:r w:rsidRPr="00AE337C">
        <w:rPr>
          <w:rFonts w:eastAsia="Calibri" w:cstheme="minorHAnsi"/>
          <w:bCs/>
          <w:lang w:val="en-US"/>
        </w:rPr>
        <w:instrText>ADDIN CSL_CITATION { "citationItems" : [ { "id" : "ITEM-1", "itemData" : { "author" : [ { "dropping-particle" : "", "family" : "Nursi", "given" : "Bediuzzaman Said", "non-dropping-particle" : "", "parse-names" : false, "suffix" : "" } ], "edition" : "Second (re", "id" : "ITEM-1", "issued" : { "date-parts" : [ [ "2012" ] ] }, "number-of-pages" : "60", "publisher" : "S\u00f6zler Ne\u015friyat A.\u015e. Istanbul. (Original work published 1911)", "publisher-place" : "Istanbul, Turkey", "title" : "The Damascus Sermon From the Risale i Nur Collection Trans (Turkish \u2018Hutbe-i \u015e\u00e2miye', \u015e\u00fckran Vahide,Trans)", "type" : "book" }, "uris" : [ "http://www.mendeley.com/documents/?uuid=602d1853-6690-4119-94fb-c57676b1c9f2" ] } ], "mendeley" : { "formattedCitation" : "(Nursi, 2012)", "plainTextFormattedCitation" : "(Nursi, 2012)", "previouslyFormattedCitation" : "(Nursi, 2012)" }, "properties" : { "noteIndex" : 0 }, "schema" : "https://github.com/citation-style-language/schema/raw/master/csl-citation.json" }</w:instrText>
      </w:r>
      <w:r w:rsidR="00A02014" w:rsidRPr="00AE337C">
        <w:rPr>
          <w:rFonts w:eastAsia="Calibri" w:cstheme="minorHAnsi"/>
          <w:bCs/>
          <w:lang w:val="en-US"/>
        </w:rPr>
        <w:fldChar w:fldCharType="separate"/>
      </w:r>
      <w:r w:rsidRPr="00AE337C">
        <w:rPr>
          <w:rFonts w:eastAsia="Calibri" w:cstheme="minorHAnsi"/>
          <w:bCs/>
          <w:noProof/>
          <w:lang w:val="en-US"/>
        </w:rPr>
        <w:t>(Nursi, 2012)</w:t>
      </w:r>
      <w:r w:rsidR="00A02014" w:rsidRPr="00AE337C">
        <w:rPr>
          <w:rFonts w:eastAsia="Calibri" w:cstheme="minorHAnsi"/>
          <w:bCs/>
          <w:lang w:val="en-US"/>
        </w:rPr>
        <w:fldChar w:fldCharType="end"/>
      </w:r>
      <w:r w:rsidRPr="00AE337C">
        <w:rPr>
          <w:rFonts w:eastAsia="Calibri" w:cstheme="minorHAnsi"/>
          <w:bCs/>
          <w:lang w:val="en-US"/>
        </w:rPr>
        <w:t xml:space="preserve">. According to the publisher of </w:t>
      </w:r>
      <w:proofErr w:type="spellStart"/>
      <w:r w:rsidRPr="00AE337C">
        <w:rPr>
          <w:rFonts w:eastAsia="Calibri" w:cstheme="minorHAnsi"/>
          <w:bCs/>
          <w:lang w:val="en-US"/>
        </w:rPr>
        <w:t>Nursi’s</w:t>
      </w:r>
      <w:proofErr w:type="spellEnd"/>
      <w:r w:rsidRPr="00AE337C">
        <w:rPr>
          <w:rFonts w:eastAsia="Calibri" w:cstheme="minorHAnsi"/>
          <w:bCs/>
          <w:lang w:val="en-US"/>
        </w:rPr>
        <w:t xml:space="preserve"> writings on </w:t>
      </w:r>
      <w:r w:rsidRPr="00AE337C">
        <w:rPr>
          <w:rFonts w:eastAsia="Calibri" w:cstheme="minorHAnsi"/>
          <w:bCs/>
          <w:i/>
          <w:lang w:val="en-US"/>
        </w:rPr>
        <w:t>The Short Words</w:t>
      </w:r>
      <w:r w:rsidRPr="00AE337C">
        <w:rPr>
          <w:rFonts w:eastAsia="Calibri" w:cstheme="minorHAnsi"/>
          <w:bCs/>
          <w:lang w:val="en-US"/>
        </w:rPr>
        <w:t xml:space="preserve">, </w:t>
      </w:r>
      <w:proofErr w:type="spellStart"/>
      <w:r w:rsidRPr="00AE337C">
        <w:rPr>
          <w:rFonts w:eastAsia="Calibri" w:cstheme="minorHAnsi"/>
          <w:bCs/>
          <w:lang w:val="en-US"/>
        </w:rPr>
        <w:t>Nursi</w:t>
      </w:r>
      <w:proofErr w:type="spellEnd"/>
      <w:r w:rsidRPr="00AE337C">
        <w:rPr>
          <w:rFonts w:eastAsia="Calibri" w:cstheme="minorHAnsi"/>
          <w:bCs/>
          <w:lang w:val="en-US"/>
        </w:rPr>
        <w:t xml:space="preserve"> affirms that belief in God is the basis of men’s virtues and true progress while the cause of their problems is rooted from their weakening of belief in God </w:t>
      </w:r>
      <w:r w:rsidR="00A02014" w:rsidRPr="00AE337C">
        <w:rPr>
          <w:rFonts w:eastAsia="Calibri" w:cstheme="minorHAnsi"/>
          <w:bCs/>
          <w:lang w:val="en-US"/>
        </w:rPr>
        <w:fldChar w:fldCharType="begin" w:fldLock="1"/>
      </w:r>
      <w:r w:rsidRPr="00AE337C">
        <w:rPr>
          <w:rFonts w:eastAsia="Calibri" w:cstheme="minorHAnsi"/>
          <w:bCs/>
          <w:lang w:val="en-US"/>
        </w:rPr>
        <w:instrText>ADDIN CSL_CITATION { "citationItems" : [ { "id" : "ITEM-1", "itemData" : { "author" : [ { "dropping-particle" : "", "family" : "Nursi", "given" : "Bediuzzaman Said", "non-dropping-particle" : "", "parse-names" : false, "suffix" : "" } ], "id" : "ITEM-1", "issued" : { "date-parts" : [ [ "2015" ] ] }, "number-of-pages" : "67", "publisher" : "Risale Press", "publisher-place" : "Istanbul, Turkey", "title" : "Short Words Risale-i Nur Collection (Sukran Vahide, trans)", "type" : "book" }, "uris" : [ "http://www.mendeley.com/documents/?uuid=a9915a46-efd1-4057-920b-3f6fec33e806" ] } ], "mendeley" : { "formattedCitation" : "(Nursi, 2015b)", "plainTextFormattedCitation" : "(Nursi, 2015b)", "previouslyFormattedCitation" : "(Nursi, 2015b)" }, "properties" : { "noteIndex" : 0 }, "schema" : "https://github.com/citation-style-language/schema/raw/master/csl-citation.json" }</w:instrText>
      </w:r>
      <w:r w:rsidR="00A02014" w:rsidRPr="00AE337C">
        <w:rPr>
          <w:rFonts w:eastAsia="Calibri" w:cstheme="minorHAnsi"/>
          <w:bCs/>
          <w:lang w:val="en-US"/>
        </w:rPr>
        <w:fldChar w:fldCharType="separate"/>
      </w:r>
      <w:r w:rsidRPr="00AE337C">
        <w:rPr>
          <w:rFonts w:eastAsia="Calibri" w:cstheme="minorHAnsi"/>
          <w:bCs/>
          <w:noProof/>
          <w:lang w:val="en-US"/>
        </w:rPr>
        <w:t>(Nursi, 2015b)</w:t>
      </w:r>
      <w:r w:rsidR="00A02014" w:rsidRPr="00AE337C">
        <w:rPr>
          <w:rFonts w:eastAsia="Calibri" w:cstheme="minorHAnsi"/>
          <w:bCs/>
          <w:lang w:val="en-US"/>
        </w:rPr>
        <w:fldChar w:fldCharType="end"/>
      </w:r>
      <w:r w:rsidRPr="00AE337C">
        <w:rPr>
          <w:rFonts w:eastAsia="Calibri" w:cstheme="minorHAnsi"/>
          <w:bCs/>
          <w:lang w:val="en-US"/>
        </w:rPr>
        <w:t xml:space="preserve">. The publisher states again that </w:t>
      </w:r>
      <w:proofErr w:type="spellStart"/>
      <w:r w:rsidRPr="00AE337C">
        <w:rPr>
          <w:rFonts w:eastAsia="Calibri" w:cstheme="minorHAnsi"/>
          <w:bCs/>
          <w:lang w:val="en-US"/>
        </w:rPr>
        <w:t>Nursi</w:t>
      </w:r>
      <w:proofErr w:type="spellEnd"/>
      <w:r w:rsidRPr="00AE337C">
        <w:rPr>
          <w:rFonts w:eastAsia="Calibri" w:cstheme="minorHAnsi"/>
          <w:bCs/>
          <w:lang w:val="en-US"/>
        </w:rPr>
        <w:t xml:space="preserve"> writes with the </w:t>
      </w:r>
      <w:r w:rsidR="0014181B" w:rsidRPr="00AE337C">
        <w:rPr>
          <w:rFonts w:eastAsia="Calibri" w:cstheme="minorHAnsi"/>
          <w:bCs/>
          <w:lang w:val="en-US"/>
        </w:rPr>
        <w:t xml:space="preserve">purpose </w:t>
      </w:r>
      <w:r w:rsidRPr="00AE337C">
        <w:rPr>
          <w:rFonts w:eastAsia="Calibri" w:cstheme="minorHAnsi"/>
          <w:bCs/>
          <w:lang w:val="en-US"/>
        </w:rPr>
        <w:t xml:space="preserve">of saving, strengthening and renewal of belief </w:t>
      </w:r>
      <w:r w:rsidR="00A02014" w:rsidRPr="00AE337C">
        <w:rPr>
          <w:rFonts w:eastAsia="Calibri" w:cstheme="minorHAnsi"/>
          <w:bCs/>
          <w:lang w:val="en-US"/>
        </w:rPr>
        <w:fldChar w:fldCharType="begin" w:fldLock="1"/>
      </w:r>
      <w:r w:rsidRPr="00AE337C">
        <w:rPr>
          <w:rFonts w:eastAsia="Calibri" w:cstheme="minorHAnsi"/>
          <w:bCs/>
          <w:lang w:val="en-US"/>
        </w:rPr>
        <w:instrText>ADDIN CSL_CITATION { "citationItems" : [ { "id" : "ITEM-1", "itemData" : { "author" : [ { "dropping-particle" : "", "family" : "Nursi", "given" : "Bediuzzaman Said", "non-dropping-particle" : "", "parse-names" : false, "suffix" : "" } ], "id" : "ITEM-1", "issued" : { "date-parts" : [ [ "2015" ] ] }, "number-of-pages" : "67", "publisher" : "Risale Press", "publisher-place" : "Istanbul, Turkey", "title" : "Short Words Risale-i Nur Collection (Sukran Vahide, trans)", "type" : "book" }, "uris" : [ "http://www.mendeley.com/documents/?uuid=a9915a46-efd1-4057-920b-3f6fec33e806" ] } ], "mendeley" : { "formattedCitation" : "(Nursi, 2015b)", "plainTextFormattedCitation" : "(Nursi, 2015b)", "previouslyFormattedCitation" : "(Nursi, 2015b)" }, "properties" : { "noteIndex" : 0 }, "schema" : "https://github.com/citation-style-language/schema/raw/master/csl-citation.json" }</w:instrText>
      </w:r>
      <w:r w:rsidR="00A02014" w:rsidRPr="00AE337C">
        <w:rPr>
          <w:rFonts w:eastAsia="Calibri" w:cstheme="minorHAnsi"/>
          <w:bCs/>
          <w:lang w:val="en-US"/>
        </w:rPr>
        <w:fldChar w:fldCharType="separate"/>
      </w:r>
      <w:r w:rsidRPr="00AE337C">
        <w:rPr>
          <w:rFonts w:eastAsia="Calibri" w:cstheme="minorHAnsi"/>
          <w:bCs/>
          <w:noProof/>
          <w:lang w:val="en-US"/>
        </w:rPr>
        <w:t>(Nursi, 2015b)</w:t>
      </w:r>
      <w:r w:rsidR="00A02014" w:rsidRPr="00AE337C">
        <w:rPr>
          <w:rFonts w:eastAsia="Calibri" w:cstheme="minorHAnsi"/>
          <w:bCs/>
          <w:lang w:val="en-US"/>
        </w:rPr>
        <w:fldChar w:fldCharType="end"/>
      </w:r>
      <w:r w:rsidRPr="00AE337C">
        <w:rPr>
          <w:rFonts w:eastAsia="Calibri" w:cstheme="minorHAnsi"/>
          <w:bCs/>
          <w:lang w:val="en-US"/>
        </w:rPr>
        <w:t>. His</w:t>
      </w:r>
      <w:r w:rsidRPr="00AE337C">
        <w:rPr>
          <w:rFonts w:eastAsia="Times New Roman" w:cstheme="minorHAnsi"/>
          <w:snapToGrid w:val="0"/>
          <w:lang w:val="en-US"/>
        </w:rPr>
        <w:t xml:space="preserve"> advice on the six ‘Words’ which are based on the theme of belief relates to the attributes of his ‘positive action’ principle as follows:</w:t>
      </w:r>
    </w:p>
    <w:p w:rsidR="00D308E2" w:rsidRPr="00F931E7" w:rsidRDefault="00D308E2" w:rsidP="00F931E7">
      <w:pPr>
        <w:spacing w:after="120" w:line="240" w:lineRule="auto"/>
        <w:ind w:left="567" w:right="-1"/>
        <w:jc w:val="both"/>
        <w:rPr>
          <w:rFonts w:eastAsia="Calibri" w:cstheme="minorHAnsi"/>
          <w:sz w:val="20"/>
          <w:szCs w:val="20"/>
          <w:lang w:val="en-US"/>
        </w:rPr>
      </w:pPr>
      <w:r w:rsidRPr="00F931E7">
        <w:rPr>
          <w:rFonts w:eastAsia="Calibri" w:cstheme="minorHAnsi"/>
          <w:sz w:val="20"/>
          <w:szCs w:val="20"/>
          <w:lang w:val="en-US"/>
        </w:rPr>
        <w:t xml:space="preserve">Our duty is to implement positive action; it is not negative action. It is a service towards belief solely done for God’s sake alone. It does not try to interfere with the work of God and His Decree. We are charged to endure all hardships with patience and thankfulness through positive faith service which results in protecting the public order </w:t>
      </w:r>
      <w:r w:rsidR="00A02014" w:rsidRPr="00F931E7">
        <w:rPr>
          <w:rFonts w:eastAsia="Calibri" w:cstheme="minorHAnsi"/>
          <w:sz w:val="20"/>
          <w:szCs w:val="20"/>
          <w:lang w:val="en-US"/>
        </w:rPr>
        <w:fldChar w:fldCharType="begin" w:fldLock="1"/>
      </w:r>
      <w:r w:rsidRPr="00F931E7">
        <w:rPr>
          <w:rFonts w:eastAsia="Calibri" w:cstheme="minorHAnsi"/>
          <w:sz w:val="20"/>
          <w:szCs w:val="20"/>
          <w:lang w:val="en-US"/>
        </w:rPr>
        <w:instrText>ADDIN CSL_CITATION { "citationItems" : [ { "id" : "ITEM-1", "itemData" : { "author" : [ { "dropping-particle" : "", "family" : "Nursi", "given" : "Bediuzzaman Said", "non-dropping-particle" : "", "parse-names" : false, "suffix" : "" } ], "id" : "ITEM-1", "issued" : { "date-parts" : [ [ "2011" ] ] }, "number-of-pages" : "249", "publisher" : "RNK Nesriyat", "publisher-place" : "Istanbul, Turkey", "title" : "Emirdag Lahikasi II", "type" : "book" }, "uris" : [ "http://www.mendeley.com/documents/?uuid=424ecc59-26ba-4f20-92a7-5d64a2ad16ee" ] } ], "mendeley" : { "formattedCitation" : "(Nursi, 2011a)", "manualFormatting" : "(Nursi, 2011, p. 8)", "plainTextFormattedCitation" : "(Nursi, 2011a)", "previouslyFormattedCitation" : "(Nursi, 2011a)" }, "properties" : { "noteIndex" : 0 }, "schema" : "https://github.com/citation-style-language/schema/raw/master/csl-citation.json" }</w:instrText>
      </w:r>
      <w:r w:rsidR="00A02014" w:rsidRPr="00F931E7">
        <w:rPr>
          <w:rFonts w:eastAsia="Calibri" w:cstheme="minorHAnsi"/>
          <w:sz w:val="20"/>
          <w:szCs w:val="20"/>
          <w:lang w:val="en-US"/>
        </w:rPr>
        <w:fldChar w:fldCharType="separate"/>
      </w:r>
      <w:r w:rsidRPr="00F931E7">
        <w:rPr>
          <w:rFonts w:eastAsia="Calibri" w:cstheme="minorHAnsi"/>
          <w:noProof/>
          <w:sz w:val="20"/>
          <w:szCs w:val="20"/>
          <w:lang w:val="en-US"/>
        </w:rPr>
        <w:t>(Nursi, 2011, p. 8)</w:t>
      </w:r>
      <w:r w:rsidR="00A02014" w:rsidRPr="00F931E7">
        <w:rPr>
          <w:rFonts w:eastAsia="Calibri" w:cstheme="minorHAnsi"/>
          <w:sz w:val="20"/>
          <w:szCs w:val="20"/>
          <w:lang w:val="en-US"/>
        </w:rPr>
        <w:fldChar w:fldCharType="end"/>
      </w:r>
      <w:r w:rsidRPr="00F931E7">
        <w:rPr>
          <w:rFonts w:eastAsia="Calibri" w:cstheme="minorHAnsi"/>
          <w:sz w:val="20"/>
          <w:szCs w:val="20"/>
          <w:lang w:val="en-US"/>
        </w:rPr>
        <w:t>.</w:t>
      </w:r>
    </w:p>
    <w:p w:rsidR="00D308E2" w:rsidRPr="00AE337C" w:rsidRDefault="00D308E2" w:rsidP="00AE337C">
      <w:pPr>
        <w:spacing w:after="120" w:line="240" w:lineRule="auto"/>
        <w:ind w:left="851" w:firstLine="567"/>
        <w:jc w:val="both"/>
        <w:rPr>
          <w:rFonts w:eastAsia="Calibri" w:cstheme="minorHAnsi"/>
          <w:lang w:val="en-US"/>
        </w:rPr>
      </w:pPr>
    </w:p>
    <w:p w:rsidR="00D308E2" w:rsidRPr="00AE337C" w:rsidRDefault="00D308E2" w:rsidP="00AE337C">
      <w:pPr>
        <w:spacing w:after="120" w:line="240" w:lineRule="auto"/>
        <w:ind w:firstLine="567"/>
        <w:jc w:val="both"/>
        <w:rPr>
          <w:rFonts w:cstheme="minorHAnsi"/>
          <w:b/>
          <w:lang w:val="en-US"/>
        </w:rPr>
      </w:pPr>
      <w:r w:rsidRPr="00AE337C">
        <w:rPr>
          <w:rFonts w:cstheme="minorHAnsi"/>
          <w:b/>
          <w:lang w:val="en-US"/>
        </w:rPr>
        <w:t>Conclusion</w:t>
      </w:r>
    </w:p>
    <w:p w:rsidR="00D308E2" w:rsidRPr="00AE337C" w:rsidRDefault="00D308E2" w:rsidP="00AE337C">
      <w:pPr>
        <w:widowControl w:val="0"/>
        <w:autoSpaceDE w:val="0"/>
        <w:autoSpaceDN w:val="0"/>
        <w:adjustRightInd w:val="0"/>
        <w:spacing w:after="120" w:line="240" w:lineRule="auto"/>
        <w:ind w:firstLine="567"/>
        <w:jc w:val="both"/>
        <w:rPr>
          <w:rFonts w:eastAsia="Times New Roman" w:cstheme="minorHAnsi"/>
          <w:color w:val="000000"/>
          <w:lang w:val="en-US" w:eastAsia="en-GB"/>
        </w:rPr>
      </w:pPr>
      <w:proofErr w:type="spellStart"/>
      <w:r w:rsidRPr="00AE337C">
        <w:rPr>
          <w:rFonts w:cstheme="minorHAnsi"/>
          <w:lang w:val="en-US"/>
        </w:rPr>
        <w:t>Nursi’s</w:t>
      </w:r>
      <w:proofErr w:type="spellEnd"/>
      <w:r w:rsidR="0014181B" w:rsidRPr="00AE337C">
        <w:rPr>
          <w:rFonts w:cstheme="minorHAnsi"/>
          <w:lang w:val="en-US"/>
        </w:rPr>
        <w:t xml:space="preserve"> </w:t>
      </w:r>
      <w:r w:rsidRPr="00AE337C">
        <w:rPr>
          <w:rFonts w:cstheme="minorHAnsi"/>
          <w:i/>
          <w:lang w:val="en-US"/>
        </w:rPr>
        <w:t>Damascus Sermon</w:t>
      </w:r>
      <w:r w:rsidRPr="00AE337C">
        <w:rPr>
          <w:rFonts w:cstheme="minorHAnsi"/>
          <w:lang w:val="en-US"/>
        </w:rPr>
        <w:t xml:space="preserve"> can be considered as the foundation </w:t>
      </w:r>
      <w:r w:rsidRPr="00AE337C">
        <w:rPr>
          <w:rFonts w:cstheme="minorHAnsi"/>
          <w:lang w:val="en-US"/>
        </w:rPr>
        <w:lastRenderedPageBreak/>
        <w:t>of his call to his rhetorical audience who are listening and reading his writings, to adhere to the ‘positive action’ by means of six ‘Words.’ His appeals to his audience continue in his other writings that form the whole volume of</w:t>
      </w:r>
      <w:r w:rsidR="004F2E04" w:rsidRPr="00AE337C">
        <w:rPr>
          <w:rFonts w:cstheme="minorHAnsi"/>
          <w:lang w:val="en-US"/>
        </w:rPr>
        <w:t xml:space="preserve"> </w:t>
      </w:r>
      <w:proofErr w:type="spellStart"/>
      <w:r w:rsidRPr="00AE337C">
        <w:rPr>
          <w:rFonts w:cstheme="minorHAnsi"/>
          <w:i/>
          <w:lang w:val="en-US"/>
        </w:rPr>
        <w:t>Risale</w:t>
      </w:r>
      <w:r w:rsidR="004F2E04" w:rsidRPr="00AE337C">
        <w:rPr>
          <w:rFonts w:cstheme="minorHAnsi"/>
          <w:i/>
          <w:lang w:val="en-US"/>
        </w:rPr>
        <w:t>-</w:t>
      </w:r>
      <w:r w:rsidRPr="00AE337C">
        <w:rPr>
          <w:rFonts w:cstheme="minorHAnsi"/>
          <w:i/>
          <w:lang w:val="en-US"/>
        </w:rPr>
        <w:t>i</w:t>
      </w:r>
      <w:proofErr w:type="spellEnd"/>
      <w:r w:rsidR="004F2E04" w:rsidRPr="00AE337C">
        <w:rPr>
          <w:rFonts w:cstheme="minorHAnsi"/>
          <w:i/>
          <w:lang w:val="en-US"/>
        </w:rPr>
        <w:t xml:space="preserve"> </w:t>
      </w:r>
      <w:r w:rsidRPr="00AE337C">
        <w:rPr>
          <w:rFonts w:cstheme="minorHAnsi"/>
          <w:i/>
          <w:lang w:val="en-US"/>
        </w:rPr>
        <w:t>Nur</w:t>
      </w:r>
      <w:r w:rsidR="004F2E04" w:rsidRPr="00AE337C">
        <w:rPr>
          <w:rFonts w:cstheme="minorHAnsi"/>
          <w:i/>
          <w:lang w:val="en-US"/>
        </w:rPr>
        <w:t xml:space="preserve"> </w:t>
      </w:r>
      <w:r w:rsidRPr="00AE337C">
        <w:rPr>
          <w:rFonts w:cstheme="minorHAnsi"/>
          <w:lang w:val="en-US"/>
        </w:rPr>
        <w:t xml:space="preserve">in years later. </w:t>
      </w:r>
      <w:r w:rsidRPr="00AE337C">
        <w:rPr>
          <w:rFonts w:eastAsia="Times New Roman" w:cstheme="minorHAnsi"/>
          <w:color w:val="000000"/>
          <w:lang w:val="en-US" w:eastAsia="en-GB"/>
        </w:rPr>
        <w:t xml:space="preserve">According to </w:t>
      </w:r>
      <w:r w:rsidR="00A02014" w:rsidRPr="00AE337C">
        <w:rPr>
          <w:rFonts w:eastAsia="Times New Roman" w:cstheme="minorHAnsi"/>
          <w:lang w:val="en-US" w:eastAsia="en-GB"/>
        </w:rPr>
        <w:fldChar w:fldCharType="begin" w:fldLock="1"/>
      </w:r>
      <w:r w:rsidRPr="00AE337C">
        <w:rPr>
          <w:rFonts w:eastAsia="Times New Roman" w:cstheme="minorHAnsi"/>
          <w:lang w:val="en-US" w:eastAsia="en-GB"/>
        </w:rPr>
        <w:instrText>ADDIN CSL_CITATION { "citationItems" : [ { "id" : "ITEM-1", "itemData" : { "author" : [ { "dropping-particle" : "", "family" : "Basar", "given" : "Al\u00e2addin", "non-dropping-particle" : "", "parse-names" : false, "suffix" : "" } ], "container-title" : "International Bedi\u00fczzaman Symposium Papers in Turkey (English)", "id" : "ITEM-1", "issued" : { "date-parts" : [ [ "1995" ] ] }, "title" : "A Lifelong Principle: Positive Action", "type" : "article-journal" }, "uris" : [ "http://www.mendeley.com/documents/?uuid=4b7acae2-ac32-4483-a6ba-6e281f1d044d" ] } ], "mendeley" : { "formattedCitation" : "(Basar, 1995)", "manualFormatting" : "Basar (1995)", "plainTextFormattedCitation" : "(Basar, 1995)", "previouslyFormattedCitation" : "(Basar, 1995)" }, "properties" : { "noteIndex" : 0 }, "schema" : "https://github.com/citation-style-language/schema/raw/master/csl-citation.json" }</w:instrText>
      </w:r>
      <w:r w:rsidR="00A02014" w:rsidRPr="00AE337C">
        <w:rPr>
          <w:rFonts w:eastAsia="Times New Roman" w:cstheme="minorHAnsi"/>
          <w:lang w:val="en-US" w:eastAsia="en-GB"/>
        </w:rPr>
        <w:fldChar w:fldCharType="separate"/>
      </w:r>
      <w:r w:rsidRPr="00AE337C">
        <w:rPr>
          <w:rFonts w:eastAsia="Times New Roman" w:cstheme="minorHAnsi"/>
          <w:noProof/>
          <w:lang w:val="en-US" w:eastAsia="en-GB"/>
        </w:rPr>
        <w:t>Basar (1995)</w:t>
      </w:r>
      <w:r w:rsidR="00A02014" w:rsidRPr="00AE337C">
        <w:rPr>
          <w:rFonts w:eastAsia="Times New Roman" w:cstheme="minorHAnsi"/>
          <w:lang w:val="en-US" w:eastAsia="en-GB"/>
        </w:rPr>
        <w:fldChar w:fldCharType="end"/>
      </w:r>
      <w:r w:rsidRPr="00AE337C">
        <w:rPr>
          <w:rFonts w:eastAsia="Times New Roman" w:cstheme="minorHAnsi"/>
          <w:lang w:val="en-US" w:eastAsia="en-GB"/>
        </w:rPr>
        <w:t xml:space="preserve"> ‘positive action’ is </w:t>
      </w:r>
      <w:proofErr w:type="spellStart"/>
      <w:r w:rsidRPr="00AE337C">
        <w:rPr>
          <w:rFonts w:eastAsia="Times New Roman" w:cstheme="minorHAnsi"/>
          <w:lang w:val="en-US" w:eastAsia="en-GB"/>
        </w:rPr>
        <w:t>Nursi’s</w:t>
      </w:r>
      <w:proofErr w:type="spellEnd"/>
      <w:r w:rsidRPr="00AE337C">
        <w:rPr>
          <w:rFonts w:eastAsia="Times New Roman" w:cstheme="minorHAnsi"/>
          <w:lang w:val="en-US" w:eastAsia="en-GB"/>
        </w:rPr>
        <w:t xml:space="preserve"> method of guidance in his writings which is based on knowledge, learning, persuasion, love and compassion conveyed through the teachings of Islam. </w:t>
      </w:r>
      <w:r w:rsidRPr="00AE337C">
        <w:rPr>
          <w:rFonts w:eastAsia="Times New Roman" w:cstheme="minorHAnsi"/>
          <w:lang w:val="en-US"/>
        </w:rPr>
        <w:t>Numerous theori</w:t>
      </w:r>
      <w:r w:rsidR="0014181B" w:rsidRPr="00AE337C">
        <w:rPr>
          <w:rFonts w:eastAsia="Times New Roman" w:cstheme="minorHAnsi"/>
          <w:lang w:val="en-US"/>
        </w:rPr>
        <w:t xml:space="preserve">st claims that positive effect </w:t>
      </w:r>
      <w:r w:rsidRPr="00AE337C">
        <w:rPr>
          <w:rFonts w:eastAsia="Times New Roman" w:cstheme="minorHAnsi"/>
          <w:lang w:val="en-US"/>
        </w:rPr>
        <w:t xml:space="preserve">facilitates approach </w:t>
      </w:r>
      <w:proofErr w:type="spellStart"/>
      <w:r w:rsidRPr="00AE337C">
        <w:rPr>
          <w:rFonts w:eastAsia="Times New Roman" w:cstheme="minorHAnsi"/>
          <w:lang w:val="en-US"/>
        </w:rPr>
        <w:t>behaviour</w:t>
      </w:r>
      <w:proofErr w:type="spellEnd"/>
      <w:r w:rsidRPr="00AE337C">
        <w:rPr>
          <w:rFonts w:eastAsia="Times New Roman" w:cstheme="minorHAnsi"/>
          <w:lang w:val="en-US"/>
        </w:rPr>
        <w:t xml:space="preserve">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"Cacioppo", "given" : "JT", "non-dropping-particle" : "", "parse-names" : false, "suffix" : "" }, { "dropping-particle" : "", "family" : "Gardner", "given" : "WL", "non-dropping-particle" : "", "parse-names" : false, "suffix" : "" }, { "dropping-particle" : "", "family" : "Berntson", "given" : "GG", "non-dropping-particle" : "", "parse-names" : false, "suffix" : "" } ], "container-title" : "Journal of Personality and Social Psychology", "id" : "ITEM-1", "issue" : "76", "issued" : { "date-parts" : [ [ "1999" ] ] }, "page" : "839-855", "title" : "The affect system has parallel and integrative processing components: Form follows function", "type" : "article-journal" }, "uris" : [ "http://www.mendeley.com/documents/?uuid=59d948b8-c359-4f67-9365-a0727a676fb3" ] } ], "mendeley" : { "formattedCitation" : "(Cacioppo, Gardner, &amp; Berntson, 1999)", "manualFormatting" : "(Cacioppo, Gardner and Berntson, 1999", "plainTextFormattedCitation" : "(Cacioppo, Gardner, &amp; Berntson, 1999)", "previouslyFormattedCitation" : "(Cacioppo, Gardner, &amp; Berntson, 1999)"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(Cacioppo, Gardner and Berntson, 1999</w:t>
      </w:r>
      <w:r w:rsidR="00A02014" w:rsidRPr="00AE337C">
        <w:rPr>
          <w:rFonts w:eastAsia="Times New Roman" w:cstheme="minorHAnsi"/>
          <w:lang w:val="en-US"/>
        </w:rPr>
        <w:fldChar w:fldCharType="end"/>
      </w:r>
      <w:r w:rsidRPr="00AE337C">
        <w:rPr>
          <w:rFonts w:eastAsia="Times New Roman" w:cstheme="minorHAnsi"/>
          <w:lang w:val="en-US"/>
        </w:rPr>
        <w:t xml:space="preserve">;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"Davidson", "given" : "RJ", "non-dropping-particle" : "", "parse-names" : false, "suffix" : "" } ], "editor" : [ { "dropping-particle" : "", "family" : "In: Lewis M, Haviland JM", "given" : "editors. Guilford Press; New Yor", "non-dropping-particle" : "", "parse-names" : false, "suffix" : "" } ], "id" : "ITEM-1", "issued" : { "date-parts" : [ [ "1993" ] ] }, "number-of-pages" : "143-154", "publisher" : "Guilford Press", "publisher-place" : "New York", "title" : "The neuropsychology of emotion and affective style.", "type" : "book" }, "uris" : [ "http://www.mendeley.com/documents/?uuid=89c7d4ca-358c-4182-8565-e894f9caff45" ] } ], "mendeley" : { "formattedCitation" : "(Davidson, 1993)", "manualFormatting" : "Davidson, 1993", "plainTextFormattedCitation" : "(Davidson, 1993)", "previouslyFormattedCitation" : "(Davidson, 1993)"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Davidson, 1993</w:t>
      </w:r>
      <w:r w:rsidR="00A02014" w:rsidRPr="00AE337C">
        <w:rPr>
          <w:rFonts w:eastAsia="Times New Roman" w:cstheme="minorHAnsi"/>
          <w:lang w:val="en-US"/>
        </w:rPr>
        <w:fldChar w:fldCharType="end"/>
      </w:r>
      <w:r w:rsidRPr="00AE337C">
        <w:rPr>
          <w:rFonts w:eastAsia="Times New Roman" w:cstheme="minorHAnsi"/>
          <w:lang w:val="en-US"/>
        </w:rPr>
        <w:t xml:space="preserve">;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"Watson", "given" : "D", "non-dropping-particle" : "", "parse-names" : false, "suffix" : "" }, { "dropping-particle" : "", "family" : "Wiese", "given" : "D", "non-dropping-particle" : "", "parse-names" : false, "suffix" : "" }, { "dropping-particle" : "", "family" : "Vaidya", "given" : "J", "non-dropping-particle" : "", "parse-names" : false, "suffix" : "" }, { "dropping-particle" : "", "family" : "Tellegen", "given" : "A", "non-dropping-particle" : "", "parse-names" : false, "suffix" : "" } ], "container-title" : "Journal of Personality and Social Psychology", "id" : "ITEM-1", "issue" : "76", "issued" : { "date-parts" : [ [ "1999" ] ] }, "page" : "820\u2013838", "title" : "The two general activation systems of affect: Structural findings, evolutionary considerations, and psychobiological evidence", "type" : "article-journal" }, "uris" : [ "http://www.mendeley.com/documents/?uuid=d3d85e8d-c3f1-4c77-be1e-65e98da1a7ab" ] } ], "mendeley" : { "formattedCitation" : "(Watson, Wiese, Vaidya, &amp; Tellegen, 1999)", "manualFormatting" : "Watson et al.,1999)", "plainTextFormattedCitation" : "(Watson, Wiese, Vaidya, &amp; Tellegen, 1999)", "previouslyFormattedCitation" : "(Watson, Wiese, Vaidya, &amp; Tellegen, 1999)"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Watson et al.,1999)</w:t>
      </w:r>
      <w:r w:rsidR="00A02014" w:rsidRPr="00AE337C">
        <w:rPr>
          <w:rFonts w:eastAsia="Times New Roman" w:cstheme="minorHAnsi"/>
          <w:lang w:val="en-US"/>
        </w:rPr>
        <w:fldChar w:fldCharType="end"/>
      </w:r>
      <w:hyperlink r:id="rId8" w:anchor="R97" w:history="1"/>
      <w:r w:rsidRPr="00AE337C">
        <w:rPr>
          <w:rFonts w:eastAsia="Times New Roman" w:cstheme="minorHAnsi"/>
          <w:lang w:val="en-US"/>
        </w:rPr>
        <w:t xml:space="preserve"> or continued action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"Carver", "given" : "CS", "non-dropping-particle" : "", "parse-names" : false, "suffix" : "" }, { "dropping-particle" : "", "family" : "Scheier", "given" : "MF", "non-dropping-particle" : "", "parse-names" : false, "suffix" : "" } ], "container-title" : "Psychological Review", "id" : "ITEM-1", "issue" : "97", "issued" : { "date-parts" : [ [ "1990" ] ] }, "page" : "19-35", "title" : "Origins and functions of positive and negative affect: A control-process view", "type" : "article-journal" }, "uris" : [ "http://www.mendeley.com/documents/?uuid=6bcbdc91-5e99-4370-9ed6-69a2a0bf466e" ] } ], "mendeley" : { "formattedCitation" : "(Carver &amp; Scheier, 1990)", "manualFormatting" : "(Carver &amp; Scheier, 1990", "plainTextFormattedCitation" : "(Carver &amp; Scheier, 1990)", "previouslyFormattedCitation" : "(Carver &amp; Scheier, 1990)"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(Carver &amp; Scheier, 1990</w:t>
      </w:r>
      <w:r w:rsidR="00A02014" w:rsidRPr="00AE337C">
        <w:rPr>
          <w:rFonts w:eastAsia="Times New Roman" w:cstheme="minorHAnsi"/>
          <w:lang w:val="en-US"/>
        </w:rPr>
        <w:fldChar w:fldCharType="end"/>
      </w:r>
      <w:r w:rsidRPr="00AE337C">
        <w:rPr>
          <w:rFonts w:eastAsia="Times New Roman" w:cstheme="minorHAnsi"/>
          <w:lang w:val="en-US"/>
        </w:rPr>
        <w:t xml:space="preserve">;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"Clore", "given" : "GL", "non-dropping-particle" : "", "parse-names" : false, "suffix" : "" } ], "id" : "ITEM-1", "issued" : { "date-parts" : [ [ "1994" ] ] }, "number-of-pages" : "103\u2013111", "publisher" : "Oxford University Press", "publisher-place" : "New York", "title" : "Why emotions are felt. In: Ekman P, Davidson R, editors. The nature of emotion: Fundamental questions", "type" : "book" }, "uris" : [ "http://www.mendeley.com/documents/?uuid=2f25690b-db13-46d0-8fe2-64b1ab676bca" ] } ], "mendeley" : { "formattedCitation" : "(Clore, 1994)", "manualFormatting" : "Clore, 1994)", "plainTextFormattedCitation" : "(Clore, 1994)", "previouslyFormattedCitation" : "(Clore, 1994)"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Clore, 1994)</w:t>
      </w:r>
      <w:r w:rsidR="00A02014" w:rsidRPr="00AE337C">
        <w:rPr>
          <w:rFonts w:eastAsia="Times New Roman" w:cstheme="minorHAnsi"/>
          <w:lang w:val="en-US"/>
        </w:rPr>
        <w:fldChar w:fldCharType="end"/>
      </w:r>
      <w:r w:rsidRPr="00AE337C">
        <w:rPr>
          <w:rFonts w:eastAsia="Times New Roman" w:cstheme="minorHAnsi"/>
          <w:lang w:val="en-US"/>
        </w:rPr>
        <w:t>. Those who are prone to positive effect are able to be engaged in better social interactions</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"Watson.", "given" : "D", "non-dropping-particle" : "", "parse-names" : false, "suffix" : "" } ], "container-title" : "Journal of Personality and Social Psychology,", "id" : "ITEM-1", "issue" : "54", "issued" : { "date-parts" : [ [ "1988" ] ] }, "page" : "1020-1030.", "title" : "Intraindividual and interindividual analyses of positive and negative affect: The relation to health complains,perceived stress and daily activities", "type" : "article-journal" }, "uris" : [ "http://www.mendeley.com/documents/?uuid=25eed849-b347-4648-8f58-f25179544df7" ] } ], "mendeley" : { "formattedCitation" : "(Watson., 1988)", "manualFormatting" : "(Watson., 1988", "plainTextFormattedCitation" : "(Watson., 1988)", "previouslyFormattedCitation" : "(Watson., 1988)"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(Watson., 1988</w:t>
      </w:r>
      <w:r w:rsidR="00A02014" w:rsidRPr="00AE337C">
        <w:rPr>
          <w:rFonts w:eastAsia="Times New Roman" w:cstheme="minorHAnsi"/>
          <w:lang w:val="en-US"/>
        </w:rPr>
        <w:fldChar w:fldCharType="end"/>
      </w:r>
      <w:r w:rsidRPr="00AE337C">
        <w:rPr>
          <w:rFonts w:eastAsia="Times New Roman" w:cstheme="minorHAnsi"/>
          <w:lang w:val="en-US"/>
        </w:rPr>
        <w:t xml:space="preserve">; </w:t>
      </w:r>
      <w:r w:rsidR="00A02014" w:rsidRPr="00AE337C">
        <w:rPr>
          <w:rFonts w:eastAsia="Times New Roman" w:cstheme="minorHAnsi"/>
          <w:lang w:val="en-US"/>
        </w:rPr>
        <w:fldChar w:fldCharType="begin" w:fldLock="1"/>
      </w:r>
      <w:r w:rsidRPr="00AE337C">
        <w:rPr>
          <w:rFonts w:eastAsia="Times New Roman" w:cstheme="minorHAnsi"/>
          <w:lang w:val="en-US"/>
        </w:rPr>
        <w:instrText>ADDIN CSL_CITATION { "citationItems" : [ { "id" : "ITEM-1", "itemData" : { "author" : [ { "dropping-particle" : "", "family" : "Watson.D", "given" : "", "non-dropping-particle" : "", "parse-names" : false, "suffix" : "" }, { "dropping-particle" : "", "family" : "Clark", "given" : "L", "non-dropping-particle" : "", "parse-names" : false, "suffix" : "" }, { "dropping-particle" : "", "family" : "Mc Intryro", "given" : "C.W", "non-dropping-particle" : "", "parse-names" : false, "suffix" : "" }, { "dropping-particle" : "", "family" : "Hamaker", "given" : "S.", "non-dropping-particle" : "", "parse-names" : false, "suffix" : "" } ], "container-title" : "Journal of personality and social Psychology", "id" : "ITEM-1", "issued" : { "date-parts" : [ [ "1992" ] ] }, "page" : "1011-1025", "title" : "Affect. Personality and social activity", "type" : "article-journal" }, "uris" : [ "http://www.mendeley.com/documents/?uuid=27838691-863c-4f49-a41b-53f20c9ded2a" ] } ], "mendeley" : { "formattedCitation" : "(Watson.D, Clark, Mc Intryro, &amp; Hamaker, 1992)", "manualFormatting" : "Watson et al., 1992)", "plainTextFormattedCitation" : "(Watson.D, Clark, Mc Intryro, &amp; Hamaker, 1992)", "previouslyFormattedCitation" : "(Watson.D, Clark, Mc Intryro, &amp; Hamaker, 1992)" }, "properties" : { "noteIndex" : 0 }, "schema" : "https://github.com/citation-style-language/schema/raw/master/csl-citation.json" }</w:instrText>
      </w:r>
      <w:r w:rsidR="00A02014" w:rsidRPr="00AE337C">
        <w:rPr>
          <w:rFonts w:eastAsia="Times New Roman" w:cstheme="minorHAnsi"/>
          <w:lang w:val="en-US"/>
        </w:rPr>
        <w:fldChar w:fldCharType="separate"/>
      </w:r>
      <w:r w:rsidRPr="00AE337C">
        <w:rPr>
          <w:rFonts w:eastAsia="Times New Roman" w:cstheme="minorHAnsi"/>
          <w:noProof/>
          <w:lang w:val="en-US"/>
        </w:rPr>
        <w:t>Watson et al., 1992)</w:t>
      </w:r>
      <w:r w:rsidR="00A02014" w:rsidRPr="00AE337C">
        <w:rPr>
          <w:rFonts w:eastAsia="Times New Roman" w:cstheme="minorHAnsi"/>
          <w:lang w:val="en-US"/>
        </w:rPr>
        <w:fldChar w:fldCharType="end"/>
      </w:r>
      <w:r w:rsidRPr="00AE337C">
        <w:rPr>
          <w:rFonts w:eastAsia="Times New Roman" w:cstheme="minorHAnsi"/>
          <w:lang w:val="en-US"/>
        </w:rPr>
        <w:t xml:space="preserve">. </w:t>
      </w:r>
      <w:r w:rsidRPr="00AE337C">
        <w:rPr>
          <w:rFonts w:cstheme="minorHAnsi"/>
          <w:color w:val="000000"/>
          <w:lang w:val="en-US"/>
        </w:rPr>
        <w:t xml:space="preserve">Bitzer (1968, p. 8) states that “rhetoric always requires an audience,” and that a “rhetorical audience consists only of those who are capable of being influenced by discourse and of being mediators of </w:t>
      </w:r>
      <w:proofErr w:type="spellStart"/>
      <w:r w:rsidRPr="00AE337C">
        <w:rPr>
          <w:rFonts w:cstheme="minorHAnsi"/>
          <w:color w:val="000000"/>
          <w:lang w:val="en-US"/>
        </w:rPr>
        <w:t>change.”</w:t>
      </w:r>
      <w:r w:rsidRPr="00AE337C">
        <w:rPr>
          <w:rFonts w:eastAsia="Times New Roman" w:cstheme="minorHAnsi"/>
          <w:color w:val="000000"/>
          <w:lang w:val="en-US" w:eastAsia="en-GB"/>
        </w:rPr>
        <w:t>Bitzer</w:t>
      </w:r>
      <w:proofErr w:type="spellEnd"/>
      <w:r w:rsidRPr="00AE337C">
        <w:rPr>
          <w:rFonts w:eastAsia="Times New Roman" w:cstheme="minorHAnsi"/>
          <w:color w:val="000000"/>
          <w:lang w:val="en-US" w:eastAsia="en-GB"/>
        </w:rPr>
        <w:t xml:space="preserve"> also asserts that the constraints that are capable of being the fitting responses to the problem are able to bring positive modification.</w:t>
      </w:r>
      <w:r w:rsidR="0014181B" w:rsidRPr="00AE337C">
        <w:rPr>
          <w:rFonts w:eastAsia="Times New Roman" w:cstheme="minorHAnsi"/>
          <w:color w:val="000000"/>
          <w:lang w:val="en-US" w:eastAsia="en-GB"/>
        </w:rPr>
        <w:t xml:space="preserve"> </w:t>
      </w:r>
      <w:r w:rsidRPr="00AE337C">
        <w:rPr>
          <w:rFonts w:eastAsia="Times New Roman" w:cstheme="minorHAnsi"/>
          <w:lang w:val="en-US"/>
        </w:rPr>
        <w:t xml:space="preserve">The </w:t>
      </w:r>
      <w:r w:rsidRPr="00AE337C">
        <w:rPr>
          <w:rFonts w:eastAsia="Times New Roman" w:cstheme="minorHAnsi"/>
          <w:i/>
          <w:lang w:val="en-US"/>
        </w:rPr>
        <w:t>Damascus Sermon</w:t>
      </w:r>
      <w:r w:rsidRPr="00AE337C">
        <w:rPr>
          <w:rFonts w:eastAsia="Times New Roman" w:cstheme="minorHAnsi"/>
          <w:lang w:val="en-US"/>
        </w:rPr>
        <w:t xml:space="preserve"> is </w:t>
      </w:r>
      <w:proofErr w:type="spellStart"/>
      <w:r w:rsidRPr="00AE337C">
        <w:rPr>
          <w:rFonts w:eastAsia="Times New Roman" w:cstheme="minorHAnsi"/>
          <w:lang w:val="en-US"/>
        </w:rPr>
        <w:t>Nursi’s</w:t>
      </w:r>
      <w:proofErr w:type="spellEnd"/>
      <w:r w:rsidRPr="00AE337C">
        <w:rPr>
          <w:rFonts w:eastAsia="Times New Roman" w:cstheme="minorHAnsi"/>
          <w:lang w:val="en-US"/>
        </w:rPr>
        <w:t xml:space="preserve"> persuasive discourse for his rhetorical audience. The constraints in the </w:t>
      </w:r>
      <w:r w:rsidRPr="00AE337C">
        <w:rPr>
          <w:rFonts w:eastAsia="Times New Roman" w:cstheme="minorHAnsi"/>
          <w:i/>
          <w:lang w:val="en-US"/>
        </w:rPr>
        <w:t>Sermon</w:t>
      </w:r>
      <w:r w:rsidRPr="00AE337C">
        <w:rPr>
          <w:rFonts w:eastAsia="Times New Roman" w:cstheme="minorHAnsi"/>
          <w:lang w:val="en-US"/>
        </w:rPr>
        <w:t xml:space="preserve"> </w:t>
      </w:r>
      <w:proofErr w:type="spellStart"/>
      <w:r w:rsidRPr="00AE337C">
        <w:rPr>
          <w:rFonts w:eastAsia="Times New Roman" w:cstheme="minorHAnsi"/>
          <w:lang w:val="en-US"/>
        </w:rPr>
        <w:t>arethe</w:t>
      </w:r>
      <w:proofErr w:type="spellEnd"/>
      <w:r w:rsidRPr="00AE337C">
        <w:rPr>
          <w:rFonts w:eastAsia="Times New Roman" w:cstheme="minorHAnsi"/>
          <w:lang w:val="en-US"/>
        </w:rPr>
        <w:t xml:space="preserve"> fitting responses that bring positive modification through his rhetorical audience who are capable to be mediators of change</w:t>
      </w:r>
      <w:r w:rsidR="0014181B" w:rsidRPr="00AE337C">
        <w:rPr>
          <w:rFonts w:eastAsia="Times New Roman" w:cstheme="minorHAnsi"/>
          <w:lang w:val="en-US"/>
        </w:rPr>
        <w:t xml:space="preserve"> </w:t>
      </w:r>
      <w:r w:rsidRPr="00AE337C">
        <w:rPr>
          <w:rFonts w:eastAsia="Times New Roman" w:cstheme="minorHAnsi"/>
          <w:color w:val="000000"/>
          <w:lang w:val="en-US" w:eastAsia="en-GB"/>
        </w:rPr>
        <w:t xml:space="preserve">Thus, </w:t>
      </w:r>
      <w:proofErr w:type="spellStart"/>
      <w:r w:rsidRPr="00AE337C">
        <w:rPr>
          <w:rFonts w:eastAsia="Times New Roman" w:cstheme="minorHAnsi"/>
          <w:lang w:val="en-US"/>
        </w:rPr>
        <w:t>Nursi’s</w:t>
      </w:r>
      <w:proofErr w:type="spellEnd"/>
      <w:r w:rsidRPr="00AE337C">
        <w:rPr>
          <w:rFonts w:eastAsia="Times New Roman" w:cstheme="minorHAnsi"/>
          <w:lang w:val="en-US"/>
        </w:rPr>
        <w:t xml:space="preserve"> ‘positive action’ corresponds with Bitzer’s positive modification.</w:t>
      </w:r>
      <w:r w:rsidR="0014181B" w:rsidRPr="00AE337C">
        <w:rPr>
          <w:rFonts w:eastAsia="Times New Roman" w:cstheme="minorHAnsi"/>
          <w:lang w:val="en-US"/>
        </w:rPr>
        <w:t xml:space="preserve"> </w:t>
      </w:r>
      <w:proofErr w:type="spellStart"/>
      <w:r w:rsidRPr="00AE337C">
        <w:rPr>
          <w:rFonts w:cstheme="minorHAnsi"/>
          <w:color w:val="000000"/>
          <w:lang w:val="en-US"/>
        </w:rPr>
        <w:t>Nursi’s</w:t>
      </w:r>
      <w:proofErr w:type="spellEnd"/>
      <w:r w:rsidRPr="00AE337C">
        <w:rPr>
          <w:rFonts w:cstheme="minorHAnsi"/>
          <w:color w:val="000000"/>
          <w:lang w:val="en-US"/>
        </w:rPr>
        <w:t xml:space="preserve"> projection on audience in the rhetorical situation also reveals his rhetorical skills.</w:t>
      </w:r>
      <w:r w:rsidR="007800E1" w:rsidRPr="00AE337C">
        <w:rPr>
          <w:rFonts w:cstheme="minorHAnsi"/>
          <w:color w:val="000000"/>
          <w:lang w:val="en-US"/>
        </w:rPr>
        <w:t xml:space="preserve"> </w:t>
      </w:r>
      <w:r w:rsidR="00A02014" w:rsidRPr="00AE337C">
        <w:rPr>
          <w:rFonts w:eastAsia="Times New Roman" w:cstheme="minorHAnsi"/>
          <w:color w:val="000000"/>
          <w:lang w:val="en-US" w:eastAsia="en-GB"/>
        </w:rPr>
        <w:fldChar w:fldCharType="begin" w:fldLock="1"/>
      </w:r>
      <w:r w:rsidRPr="00AE337C">
        <w:rPr>
          <w:rFonts w:eastAsia="Times New Roman" w:cstheme="minorHAnsi"/>
          <w:color w:val="000000"/>
          <w:lang w:val="en-US" w:eastAsia="en-GB"/>
        </w:rPr>
        <w:instrText>ADDIN CSL_CITATION { "citationItems" : [ { "id" : "ITEM-1", "itemData" : { "abstract" : "Gaining an understanding of rhetorical theory and its practical applications is a critical component to effective and competent communication. The Essential Guide to Rhetoric provides an accessible and balanced overview of the core historical and contemporary theories. It uses concrete, relevant examples and jargon-free language to bring these concepts to life. The guide helps students move from concept to action with discussions of invention, the traditions of trope, argument and speech, among others. This handy guide is an excellent addition to the public speaking class, extending and deepening crucial concepts, and an indispensable supplement to the rhetorical theory class.", "author" : [ { "dropping-particle" : "", "family" : "Keith", "given" : "William M.", "non-dropping-particle" : "", "parse-names" : false, "suffix" : "" }, { "dropping-particle" : "", "family" : "Lundberg", "given" : "Christian O.", "non-dropping-particle" : "", "parse-names" : false, "suffix" : "" } ], "id" : "ITEM-1", "issued" : { "date-parts" : [ [ "2008" ] ] }, "number-of-pages" : "83", "publisher" : "St. Martin's", "publisher-place" : "Bedford", "title" : "The Essential Guide to Rhetoric", "type" : "book" }, "uris" : [ "http://www.mendeley.com/documents/?uuid=cc7aaa37-94b4-4f65-967a-fe784f468692" ] } ], "mendeley" : { "formattedCitation" : "(Keith &amp; Lundberg, 2008)", "manualFormatting" : " Keith and Lundberg (2008)", "plainTextFormattedCitation" : "(Keith &amp; Lundberg, 2008)", "previouslyFormattedCitation" : "(Keith &amp; Lundberg, 2008)" }, "properties" : { "noteIndex" : 0 }, "schema" : "https://github.com/citation-style-language/schema/raw/master/csl-citation.json" }</w:instrText>
      </w:r>
      <w:r w:rsidR="00A02014" w:rsidRPr="00AE337C">
        <w:rPr>
          <w:rFonts w:eastAsia="Times New Roman" w:cstheme="minorHAnsi"/>
          <w:color w:val="000000"/>
          <w:lang w:val="en-US" w:eastAsia="en-GB"/>
        </w:rPr>
        <w:fldChar w:fldCharType="separate"/>
      </w:r>
      <w:r w:rsidRPr="00AE337C">
        <w:rPr>
          <w:rFonts w:eastAsia="Times New Roman" w:cstheme="minorHAnsi"/>
          <w:noProof/>
          <w:color w:val="000000"/>
          <w:lang w:val="en-US" w:eastAsia="en-GB"/>
        </w:rPr>
        <w:t>Keith and Lundberg (2008)</w:t>
      </w:r>
      <w:r w:rsidR="00A02014" w:rsidRPr="00AE337C">
        <w:rPr>
          <w:rFonts w:eastAsia="Times New Roman" w:cstheme="minorHAnsi"/>
          <w:color w:val="000000"/>
          <w:lang w:val="en-US" w:eastAsia="en-GB"/>
        </w:rPr>
        <w:fldChar w:fldCharType="end"/>
      </w:r>
      <w:r w:rsidRPr="00AE337C">
        <w:rPr>
          <w:rFonts w:eastAsia="Times New Roman" w:cstheme="minorHAnsi"/>
          <w:color w:val="000000"/>
          <w:lang w:val="en-US" w:eastAsia="en-GB"/>
        </w:rPr>
        <w:t xml:space="preserve"> state that thinking about the audience can be considered as the most important rhetorical skill.</w:t>
      </w:r>
    </w:p>
    <w:p w:rsidR="00D308E2" w:rsidRPr="00AE337C" w:rsidRDefault="00D308E2" w:rsidP="00AE337C">
      <w:pPr>
        <w:spacing w:after="120" w:line="240" w:lineRule="auto"/>
        <w:ind w:firstLine="567"/>
        <w:jc w:val="both"/>
        <w:rPr>
          <w:rFonts w:eastAsia="Times New Roman" w:cstheme="minorHAnsi"/>
          <w:color w:val="000000"/>
          <w:lang w:val="en-US" w:eastAsia="en-GB"/>
        </w:rPr>
      </w:pPr>
      <w:r w:rsidRPr="00AE337C">
        <w:rPr>
          <w:rFonts w:cstheme="minorHAnsi"/>
          <w:lang w:val="en-US"/>
        </w:rPr>
        <w:t xml:space="preserve">Although this study only focuses on the audience, the findings are worth considering as audience play an important role through their actions. Their actions can bring positive modification in the rhetorical situation. This study can be beneficial to audience, create orators’ awareness and also contribute to the field of rhetorical studies. </w:t>
      </w:r>
      <w:proofErr w:type="spellStart"/>
      <w:r w:rsidRPr="00AE337C">
        <w:rPr>
          <w:rFonts w:cstheme="minorHAnsi"/>
          <w:lang w:val="en-US"/>
        </w:rPr>
        <w:t>Nursi</w:t>
      </w:r>
      <w:proofErr w:type="spellEnd"/>
      <w:r w:rsidRPr="00AE337C">
        <w:rPr>
          <w:rFonts w:cstheme="minorHAnsi"/>
          <w:lang w:val="en-US"/>
        </w:rPr>
        <w:t xml:space="preserve"> asserts about </w:t>
      </w:r>
      <w:r w:rsidRPr="00AE337C">
        <w:rPr>
          <w:rFonts w:eastAsia="Times New Roman" w:cstheme="minorHAnsi"/>
          <w:color w:val="000000"/>
          <w:lang w:val="en-US" w:eastAsia="en-GB"/>
        </w:rPr>
        <w:t xml:space="preserve">the significance of the meanings of wordings which has rhetorical features and he states that  “concentrating on meanings requires greater and deeper care and study” </w:t>
      </w:r>
      <w:r w:rsidR="00A02014" w:rsidRPr="00AE337C">
        <w:rPr>
          <w:rFonts w:eastAsia="Times New Roman" w:cstheme="minorHAnsi"/>
          <w:color w:val="000000"/>
          <w:lang w:val="en-US" w:eastAsia="en-GB"/>
        </w:rPr>
        <w:fldChar w:fldCharType="begin" w:fldLock="1"/>
      </w:r>
      <w:r w:rsidRPr="00AE337C">
        <w:rPr>
          <w:rFonts w:eastAsia="Times New Roman" w:cstheme="minorHAnsi"/>
          <w:color w:val="000000"/>
          <w:lang w:val="en-US" w:eastAsia="en-GB"/>
        </w:rPr>
        <w:instrText>ADDIN CSL_CITATION { "citationItems" : [ { "id" : "ITEM-1", "itemData" : { "ISBN" : "9781597841290", "author" : [ { "dropping-particle" : "", "family" : "Nursi", "given" : "Bediuzzaman Said", "non-dropping-particle" : "", "parse-names" : false, "suffix" : "" } ], "id" : "ITEM-1", "issued" : { "date-parts" : [ [ "2008" ] ] }, "publisher" : "Tugra Books", "publisher-place" : "New Jersey, USA", "title" : "The reasoning (Turkish Muhakemat, Huseyin Akarsu, Trans) (Original work published 1913)", "type" : "book" }, "uris" : [ "http://www.mendeley.com/documents/?uuid=3ca0234e-d27d-4a00-aa37-6722413e97ff" ] } ], "mendeley" : { "formattedCitation" : "(Nursi, 2008a)", "manualFormatting" : "(Nursi, 2008, p. 80)", "plainTextFormattedCitation" : "(Nursi, 2008a)", "previouslyFormattedCitation" : "(Nursi, 2008a)" }, "properties" : { "noteIndex" : 0 }, "schema" : "https://github.com/citation-style-language/schema/raw/master/csl-citation.json" }</w:instrText>
      </w:r>
      <w:r w:rsidR="00A02014" w:rsidRPr="00AE337C">
        <w:rPr>
          <w:rFonts w:eastAsia="Times New Roman" w:cstheme="minorHAnsi"/>
          <w:color w:val="000000"/>
          <w:lang w:val="en-US" w:eastAsia="en-GB"/>
        </w:rPr>
        <w:fldChar w:fldCharType="separate"/>
      </w:r>
      <w:r w:rsidRPr="00AE337C">
        <w:rPr>
          <w:rFonts w:eastAsia="Times New Roman" w:cstheme="minorHAnsi"/>
          <w:noProof/>
          <w:color w:val="000000"/>
          <w:lang w:val="en-US" w:eastAsia="en-GB"/>
        </w:rPr>
        <w:t>(Nursi, 2008, p. 80)</w:t>
      </w:r>
      <w:r w:rsidR="00A02014" w:rsidRPr="00AE337C">
        <w:rPr>
          <w:rFonts w:eastAsia="Times New Roman" w:cstheme="minorHAnsi"/>
          <w:color w:val="000000"/>
          <w:lang w:val="en-US" w:eastAsia="en-GB"/>
        </w:rPr>
        <w:fldChar w:fldCharType="end"/>
      </w:r>
      <w:r w:rsidRPr="00AE337C">
        <w:rPr>
          <w:rFonts w:eastAsia="Times New Roman" w:cstheme="minorHAnsi"/>
          <w:color w:val="000000"/>
          <w:lang w:val="en-US" w:eastAsia="en-GB"/>
        </w:rPr>
        <w:t>.</w:t>
      </w:r>
      <w:r w:rsidRPr="00AE337C">
        <w:rPr>
          <w:rFonts w:eastAsia="Times New Roman" w:cstheme="minorHAnsi"/>
          <w:lang w:val="en-US" w:eastAsia="en-GB"/>
        </w:rPr>
        <w:t xml:space="preserve"> Hence, it is recommended that more in-depth studies are needed </w:t>
      </w:r>
      <w:proofErr w:type="spellStart"/>
      <w:r w:rsidRPr="00AE337C">
        <w:rPr>
          <w:rFonts w:eastAsia="Times New Roman" w:cstheme="minorHAnsi"/>
          <w:lang w:val="en-US" w:eastAsia="en-GB"/>
        </w:rPr>
        <w:t>to</w:t>
      </w:r>
      <w:r w:rsidRPr="00AE337C">
        <w:rPr>
          <w:rFonts w:eastAsia="Times New Roman" w:cstheme="minorHAnsi"/>
          <w:color w:val="000000"/>
          <w:lang w:val="en-US" w:eastAsia="en-GB"/>
        </w:rPr>
        <w:t>concentrate</w:t>
      </w:r>
      <w:proofErr w:type="spellEnd"/>
      <w:r w:rsidRPr="00AE337C">
        <w:rPr>
          <w:rFonts w:eastAsia="Times New Roman" w:cstheme="minorHAnsi"/>
          <w:color w:val="000000"/>
          <w:lang w:val="en-US" w:eastAsia="en-GB"/>
        </w:rPr>
        <w:t xml:space="preserve"> on the meanings which have deeper values for the purpose of making correct and refined </w:t>
      </w:r>
      <w:r w:rsidRPr="00AE337C">
        <w:rPr>
          <w:rFonts w:eastAsia="Times New Roman" w:cstheme="minorHAnsi"/>
          <w:color w:val="000000"/>
          <w:lang w:val="en-US" w:eastAsia="en-GB"/>
        </w:rPr>
        <w:lastRenderedPageBreak/>
        <w:t xml:space="preserve">interpretations especially in </w:t>
      </w:r>
      <w:proofErr w:type="spellStart"/>
      <w:r w:rsidRPr="00AE337C">
        <w:rPr>
          <w:rFonts w:eastAsia="Times New Roman" w:cstheme="minorHAnsi"/>
          <w:color w:val="000000"/>
          <w:lang w:val="en-US" w:eastAsia="en-GB"/>
        </w:rPr>
        <w:t>Nursi’s</w:t>
      </w:r>
      <w:proofErr w:type="spellEnd"/>
      <w:r w:rsidRPr="00AE337C">
        <w:rPr>
          <w:rFonts w:eastAsia="Times New Roman" w:cstheme="minorHAnsi"/>
          <w:color w:val="000000"/>
          <w:lang w:val="en-US" w:eastAsia="en-GB"/>
        </w:rPr>
        <w:t xml:space="preserve"> writings, which are rich in rhetorical features and implied meanings.</w:t>
      </w:r>
    </w:p>
    <w:p w:rsidR="00D308E2" w:rsidRPr="00AE337C" w:rsidRDefault="00D308E2" w:rsidP="00AE337C">
      <w:pPr>
        <w:spacing w:after="120" w:line="240" w:lineRule="auto"/>
        <w:ind w:firstLine="567"/>
        <w:jc w:val="both"/>
        <w:rPr>
          <w:rFonts w:cstheme="minorHAnsi"/>
          <w:b/>
          <w:lang w:val="en-US"/>
        </w:rPr>
      </w:pPr>
      <w:r w:rsidRPr="00AE337C">
        <w:rPr>
          <w:rFonts w:cstheme="minorHAnsi"/>
          <w:b/>
          <w:lang w:val="en-US"/>
        </w:rPr>
        <w:t>References:</w:t>
      </w:r>
    </w:p>
    <w:p w:rsidR="00D308E2" w:rsidRPr="00AE337C" w:rsidRDefault="00A02014" w:rsidP="00F931E7">
      <w:pPr>
        <w:pStyle w:val="NormalWeb"/>
        <w:spacing w:before="0" w:beforeAutospacing="0" w:after="120" w:afterAutospacing="0"/>
        <w:ind w:left="567" w:hanging="567"/>
        <w:jc w:val="both"/>
        <w:rPr>
          <w:rFonts w:asciiTheme="minorHAnsi" w:eastAsiaTheme="minorEastAsia" w:hAnsiTheme="minorHAnsi" w:cstheme="minorHAnsi"/>
          <w:noProof/>
          <w:sz w:val="22"/>
          <w:szCs w:val="22"/>
          <w:lang w:val="en-US"/>
        </w:rPr>
      </w:pPr>
      <w:r w:rsidRPr="00AE337C">
        <w:rPr>
          <w:rFonts w:asciiTheme="minorHAnsi" w:hAnsiTheme="minorHAnsi" w:cstheme="minorHAnsi"/>
          <w:sz w:val="22"/>
          <w:szCs w:val="22"/>
          <w:lang w:val="en-US"/>
        </w:rPr>
        <w:fldChar w:fldCharType="begin" w:fldLock="1"/>
      </w:r>
      <w:r w:rsidR="00D308E2" w:rsidRPr="00AE337C">
        <w:rPr>
          <w:rFonts w:asciiTheme="minorHAnsi" w:hAnsiTheme="minorHAnsi" w:cstheme="minorHAnsi"/>
          <w:sz w:val="22"/>
          <w:szCs w:val="22"/>
          <w:lang w:val="en-US"/>
        </w:rPr>
        <w:instrText xml:space="preserve">ADDIN Mendeley Bibliography CSL_BIBLIOGRAPHY </w:instrText>
      </w:r>
      <w:r w:rsidRPr="00AE337C">
        <w:rPr>
          <w:rFonts w:asciiTheme="minorHAnsi" w:hAnsiTheme="minorHAnsi" w:cstheme="minorHAnsi"/>
          <w:sz w:val="22"/>
          <w:szCs w:val="22"/>
          <w:lang w:val="en-US"/>
        </w:rPr>
        <w:fldChar w:fldCharType="separate"/>
      </w:r>
      <w:r w:rsidR="00D308E2" w:rsidRPr="00AE337C">
        <w:rPr>
          <w:rFonts w:asciiTheme="minorHAnsi" w:hAnsiTheme="minorHAnsi" w:cstheme="minorHAnsi"/>
          <w:noProof/>
          <w:sz w:val="22"/>
          <w:szCs w:val="22"/>
          <w:lang w:val="en-US"/>
        </w:rPr>
        <w:t xml:space="preserve">Abu-Rabi’, I. M. (2008a). </w:t>
      </w:r>
      <w:r w:rsidR="00D308E2" w:rsidRPr="00AE337C">
        <w:rPr>
          <w:rFonts w:asciiTheme="minorHAnsi" w:hAnsiTheme="minorHAnsi" w:cstheme="minorHAnsi"/>
          <w:i/>
          <w:iCs/>
          <w:noProof/>
          <w:sz w:val="22"/>
          <w:szCs w:val="22"/>
          <w:lang w:val="en-US"/>
        </w:rPr>
        <w:t>Spiritual Dimensions of B</w:t>
      </w:r>
      <w:r w:rsidR="004F2E04" w:rsidRPr="00AE337C">
        <w:rPr>
          <w:rFonts w:asciiTheme="minorHAnsi" w:hAnsiTheme="minorHAnsi" w:cstheme="minorHAnsi"/>
          <w:i/>
          <w:iCs/>
          <w:noProof/>
          <w:sz w:val="22"/>
          <w:szCs w:val="22"/>
          <w:lang w:val="en-US"/>
        </w:rPr>
        <w:t>ediuzzaman Said Nursi’s Risale-i</w:t>
      </w:r>
      <w:r w:rsidR="00D308E2" w:rsidRPr="00AE337C">
        <w:rPr>
          <w:rFonts w:asciiTheme="minorHAnsi" w:hAnsiTheme="minorHAnsi" w:cstheme="minorHAnsi"/>
          <w:i/>
          <w:iCs/>
          <w:noProof/>
          <w:sz w:val="22"/>
          <w:szCs w:val="22"/>
          <w:lang w:val="en-US"/>
        </w:rPr>
        <w:t xml:space="preserve"> Nur</w:t>
      </w:r>
      <w:r w:rsidR="00D308E2" w:rsidRPr="00AE337C">
        <w:rPr>
          <w:rFonts w:asciiTheme="minorHAnsi" w:hAnsiTheme="minorHAnsi" w:cstheme="minorHAnsi"/>
          <w:noProof/>
          <w:sz w:val="22"/>
          <w:szCs w:val="22"/>
          <w:lang w:val="en-US"/>
        </w:rPr>
        <w:t>. Suny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Abu-Rabi’, I. M. (2008b). </w:t>
      </w:r>
      <w:r w:rsidRPr="00AE337C">
        <w:rPr>
          <w:rFonts w:asciiTheme="minorHAnsi" w:hAnsiTheme="minorHAnsi" w:cstheme="minorHAnsi"/>
          <w:i/>
          <w:iCs/>
          <w:noProof/>
          <w:sz w:val="22"/>
          <w:szCs w:val="22"/>
          <w:lang w:val="en-US"/>
        </w:rPr>
        <w:t>The Blackwell Companion to Contemporary Islamic Thought</w:t>
      </w:r>
      <w:r w:rsidRPr="00AE337C">
        <w:rPr>
          <w:rFonts w:asciiTheme="minorHAnsi" w:hAnsiTheme="minorHAnsi" w:cstheme="minorHAnsi"/>
          <w:noProof/>
          <w:sz w:val="22"/>
          <w:szCs w:val="22"/>
          <w:lang w:val="en-US"/>
        </w:rPr>
        <w:t>. John Wiley &amp; Sons.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Aquinas, T. (2002). </w:t>
      </w:r>
      <w:r w:rsidRPr="00AE337C">
        <w:rPr>
          <w:rFonts w:asciiTheme="minorHAnsi" w:hAnsiTheme="minorHAnsi" w:cstheme="minorHAnsi"/>
          <w:i/>
          <w:iCs/>
          <w:noProof/>
          <w:sz w:val="22"/>
          <w:szCs w:val="22"/>
          <w:lang w:val="en-US"/>
        </w:rPr>
        <w:t>The treatise on human nature: Summa theologica (R.Pasnam, Trans.)</w:t>
      </w:r>
      <w:r w:rsidRPr="00AE337C">
        <w:rPr>
          <w:rFonts w:asciiTheme="minorHAnsi" w:hAnsiTheme="minorHAnsi" w:cstheme="minorHAnsi"/>
          <w:noProof/>
          <w:sz w:val="22"/>
          <w:szCs w:val="22"/>
          <w:lang w:val="en-US"/>
        </w:rPr>
        <w:t>. Indianapolis: Hackett Publishing.</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Basar, A. (1995). A Lifelong Principle: Positive Action. </w:t>
      </w:r>
      <w:r w:rsidR="004F2E04" w:rsidRPr="00AE337C">
        <w:rPr>
          <w:rFonts w:asciiTheme="minorHAnsi" w:hAnsiTheme="minorHAnsi" w:cstheme="minorHAnsi"/>
          <w:i/>
          <w:iCs/>
          <w:noProof/>
          <w:sz w:val="22"/>
          <w:szCs w:val="22"/>
          <w:lang w:val="en-US"/>
        </w:rPr>
        <w:t>International Bediu</w:t>
      </w:r>
      <w:r w:rsidRPr="00AE337C">
        <w:rPr>
          <w:rFonts w:asciiTheme="minorHAnsi" w:hAnsiTheme="minorHAnsi" w:cstheme="minorHAnsi"/>
          <w:i/>
          <w:iCs/>
          <w:noProof/>
          <w:sz w:val="22"/>
          <w:szCs w:val="22"/>
          <w:lang w:val="en-US"/>
        </w:rPr>
        <w:t>zzaman Symposium Papers in Turkey (English)</w:t>
      </w:r>
      <w:r w:rsidRPr="00AE337C">
        <w:rPr>
          <w:rFonts w:asciiTheme="minorHAnsi" w:hAnsiTheme="minorHAnsi" w:cstheme="minorHAnsi"/>
          <w:noProof/>
          <w:sz w:val="22"/>
          <w:szCs w:val="22"/>
          <w:lang w:val="en-US"/>
        </w:rPr>
        <w:t>.</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Bitzer, L. F. (1968). The Rhetorical Situation. Philosophy and Rhetoric. In J. Luraites, C. Condit, &amp; S. Caudill (Eds.), </w:t>
      </w:r>
      <w:r w:rsidRPr="00AE337C">
        <w:rPr>
          <w:rFonts w:asciiTheme="minorHAnsi" w:hAnsiTheme="minorHAnsi" w:cstheme="minorHAnsi"/>
          <w:i/>
          <w:iCs/>
          <w:noProof/>
          <w:sz w:val="22"/>
          <w:szCs w:val="22"/>
          <w:lang w:val="en-US"/>
        </w:rPr>
        <w:t>Contemporary Rhetorical Theory</w:t>
      </w:r>
      <w:r w:rsidRPr="00AE337C">
        <w:rPr>
          <w:rFonts w:asciiTheme="minorHAnsi" w:hAnsiTheme="minorHAnsi" w:cstheme="minorHAnsi"/>
          <w:noProof/>
          <w:sz w:val="22"/>
          <w:szCs w:val="22"/>
          <w:lang w:val="en-US"/>
        </w:rPr>
        <w:t xml:space="preserve"> (pp. 217–225). New Jersey, USA: Guilford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Bitzer, L. F. (1980). Functional communication: A situational perspective. In E.E.White (Ed.), </w:t>
      </w:r>
      <w:r w:rsidRPr="00AE337C">
        <w:rPr>
          <w:rFonts w:asciiTheme="minorHAnsi" w:hAnsiTheme="minorHAnsi" w:cstheme="minorHAnsi"/>
          <w:i/>
          <w:iCs/>
          <w:noProof/>
          <w:sz w:val="22"/>
          <w:szCs w:val="22"/>
          <w:lang w:val="en-US"/>
        </w:rPr>
        <w:t>Rhetoric in transition: Studies in the nature and use of rhetoric</w:t>
      </w:r>
      <w:r w:rsidRPr="00AE337C">
        <w:rPr>
          <w:rFonts w:asciiTheme="minorHAnsi" w:hAnsiTheme="minorHAnsi" w:cstheme="minorHAnsi"/>
          <w:noProof/>
          <w:sz w:val="22"/>
          <w:szCs w:val="22"/>
          <w:lang w:val="en-US"/>
        </w:rPr>
        <w:t xml:space="preserve"> (pp. 21–38). PA: Pensylvanian State: University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Bitzer, L. F. (1995). The Rhetorical Situation. In C. Burgchardt (Ed.), </w:t>
      </w:r>
      <w:r w:rsidRPr="00AE337C">
        <w:rPr>
          <w:rFonts w:asciiTheme="minorHAnsi" w:hAnsiTheme="minorHAnsi" w:cstheme="minorHAnsi"/>
          <w:i/>
          <w:iCs/>
          <w:noProof/>
          <w:sz w:val="22"/>
          <w:szCs w:val="22"/>
          <w:lang w:val="en-US"/>
        </w:rPr>
        <w:t xml:space="preserve">Readings in </w:t>
      </w:r>
      <w:r w:rsidR="004F2E04" w:rsidRPr="00AE337C">
        <w:rPr>
          <w:rFonts w:asciiTheme="minorHAnsi" w:hAnsiTheme="minorHAnsi" w:cstheme="minorHAnsi"/>
          <w:i/>
          <w:iCs/>
          <w:noProof/>
          <w:sz w:val="22"/>
          <w:szCs w:val="22"/>
          <w:lang w:val="en-US"/>
        </w:rPr>
        <w:t>Rhetorical Criticism</w:t>
      </w:r>
      <w:r w:rsidR="004F2E04" w:rsidRPr="00AE337C">
        <w:rPr>
          <w:rFonts w:asciiTheme="minorHAnsi" w:hAnsiTheme="minorHAnsi" w:cstheme="minorHAnsi"/>
          <w:noProof/>
          <w:sz w:val="22"/>
          <w:szCs w:val="22"/>
          <w:lang w:val="en-US"/>
        </w:rPr>
        <w:t xml:space="preserve"> </w:t>
      </w:r>
      <w:r w:rsidRPr="00AE337C">
        <w:rPr>
          <w:rFonts w:asciiTheme="minorHAnsi" w:hAnsiTheme="minorHAnsi" w:cstheme="minorHAnsi"/>
          <w:noProof/>
          <w:sz w:val="22"/>
          <w:szCs w:val="22"/>
          <w:lang w:val="en-US"/>
        </w:rPr>
        <w:t>(pp. 58–67). New York: Strata Publishing.</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Cacioppo, J., Gardner, W., &amp; Berntson, G. (1999). The affect system has parallel and integrative processing components: Form follows function. </w:t>
      </w:r>
      <w:r w:rsidRPr="00AE337C">
        <w:rPr>
          <w:rFonts w:asciiTheme="minorHAnsi" w:hAnsiTheme="minorHAnsi" w:cstheme="minorHAnsi"/>
          <w:i/>
          <w:iCs/>
          <w:noProof/>
          <w:sz w:val="22"/>
          <w:szCs w:val="22"/>
          <w:lang w:val="en-US"/>
        </w:rPr>
        <w:t>Journal of Personality and Social Psychology</w:t>
      </w:r>
      <w:r w:rsidRPr="00AE337C">
        <w:rPr>
          <w:rFonts w:asciiTheme="minorHAnsi" w:hAnsiTheme="minorHAnsi" w:cstheme="minorHAnsi"/>
          <w:noProof/>
          <w:sz w:val="22"/>
          <w:szCs w:val="22"/>
          <w:lang w:val="en-US"/>
        </w:rPr>
        <w:t>, (76), 839–855.</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Cameron, K. S., &amp; Spreitzer, G. M. (2013). </w:t>
      </w:r>
      <w:r w:rsidRPr="00AE337C">
        <w:rPr>
          <w:rFonts w:asciiTheme="minorHAnsi" w:hAnsiTheme="minorHAnsi" w:cstheme="minorHAnsi"/>
          <w:i/>
          <w:iCs/>
          <w:noProof/>
          <w:sz w:val="22"/>
          <w:szCs w:val="22"/>
          <w:lang w:val="en-US"/>
        </w:rPr>
        <w:t>The Oxford Handbook of Positive Organizational Scholarship</w:t>
      </w:r>
      <w:r w:rsidRPr="00AE337C">
        <w:rPr>
          <w:rFonts w:asciiTheme="minorHAnsi" w:hAnsiTheme="minorHAnsi" w:cstheme="minorHAnsi"/>
          <w:noProof/>
          <w:sz w:val="22"/>
          <w:szCs w:val="22"/>
          <w:lang w:val="en-US"/>
        </w:rPr>
        <w:t>. Oxford University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Carver, C., &amp; Scheier, M. (1990). Origins and functions of positive and negative affect: A control-process view. </w:t>
      </w:r>
      <w:r w:rsidRPr="00AE337C">
        <w:rPr>
          <w:rFonts w:asciiTheme="minorHAnsi" w:hAnsiTheme="minorHAnsi" w:cstheme="minorHAnsi"/>
          <w:i/>
          <w:iCs/>
          <w:noProof/>
          <w:sz w:val="22"/>
          <w:szCs w:val="22"/>
          <w:lang w:val="en-US"/>
        </w:rPr>
        <w:t>Psychological Review</w:t>
      </w:r>
      <w:r w:rsidRPr="00AE337C">
        <w:rPr>
          <w:rFonts w:asciiTheme="minorHAnsi" w:hAnsiTheme="minorHAnsi" w:cstheme="minorHAnsi"/>
          <w:noProof/>
          <w:sz w:val="22"/>
          <w:szCs w:val="22"/>
          <w:lang w:val="en-US"/>
        </w:rPr>
        <w:t>, (97), 19–35.</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lastRenderedPageBreak/>
        <w:t xml:space="preserve">Clore, G. (1994). </w:t>
      </w:r>
      <w:r w:rsidRPr="00AE337C">
        <w:rPr>
          <w:rFonts w:asciiTheme="minorHAnsi" w:hAnsiTheme="minorHAnsi" w:cstheme="minorHAnsi"/>
          <w:i/>
          <w:iCs/>
          <w:noProof/>
          <w:sz w:val="22"/>
          <w:szCs w:val="22"/>
          <w:lang w:val="en-US"/>
        </w:rPr>
        <w:t xml:space="preserve">Why emotions are felt. In: Ekman P, Davidson R, editors. The </w:t>
      </w:r>
      <w:r w:rsidR="004F2E04" w:rsidRPr="00AE337C">
        <w:rPr>
          <w:rFonts w:asciiTheme="minorHAnsi" w:hAnsiTheme="minorHAnsi" w:cstheme="minorHAnsi"/>
          <w:i/>
          <w:iCs/>
          <w:noProof/>
          <w:sz w:val="22"/>
          <w:szCs w:val="22"/>
          <w:lang w:val="en-US"/>
        </w:rPr>
        <w:t xml:space="preserve">Nature </w:t>
      </w:r>
      <w:r w:rsidRPr="00AE337C">
        <w:rPr>
          <w:rFonts w:asciiTheme="minorHAnsi" w:hAnsiTheme="minorHAnsi" w:cstheme="minorHAnsi"/>
          <w:i/>
          <w:iCs/>
          <w:noProof/>
          <w:sz w:val="22"/>
          <w:szCs w:val="22"/>
          <w:lang w:val="en-US"/>
        </w:rPr>
        <w:t xml:space="preserve">of </w:t>
      </w:r>
      <w:r w:rsidR="004F2E04" w:rsidRPr="00AE337C">
        <w:rPr>
          <w:rFonts w:asciiTheme="minorHAnsi" w:hAnsiTheme="minorHAnsi" w:cstheme="minorHAnsi"/>
          <w:i/>
          <w:iCs/>
          <w:noProof/>
          <w:sz w:val="22"/>
          <w:szCs w:val="22"/>
          <w:lang w:val="en-US"/>
        </w:rPr>
        <w:t>Emotion</w:t>
      </w:r>
      <w:r w:rsidRPr="00AE337C">
        <w:rPr>
          <w:rFonts w:asciiTheme="minorHAnsi" w:hAnsiTheme="minorHAnsi" w:cstheme="minorHAnsi"/>
          <w:i/>
          <w:iCs/>
          <w:noProof/>
          <w:sz w:val="22"/>
          <w:szCs w:val="22"/>
          <w:lang w:val="en-US"/>
        </w:rPr>
        <w:t>: Fundamental questions</w:t>
      </w:r>
      <w:r w:rsidRPr="00AE337C">
        <w:rPr>
          <w:rFonts w:asciiTheme="minorHAnsi" w:hAnsiTheme="minorHAnsi" w:cstheme="minorHAnsi"/>
          <w:noProof/>
          <w:sz w:val="22"/>
          <w:szCs w:val="22"/>
          <w:lang w:val="en-US"/>
        </w:rPr>
        <w:t>. New York: Oxford University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Crowley, S., &amp; Hawhee, D. (2004). </w:t>
      </w:r>
      <w:r w:rsidRPr="00AE337C">
        <w:rPr>
          <w:rFonts w:asciiTheme="minorHAnsi" w:hAnsiTheme="minorHAnsi" w:cstheme="minorHAnsi"/>
          <w:i/>
          <w:iCs/>
          <w:noProof/>
          <w:sz w:val="22"/>
          <w:szCs w:val="22"/>
          <w:lang w:val="en-US"/>
        </w:rPr>
        <w:t>Ancient Rhetorics for Contemporary Students</w:t>
      </w:r>
      <w:r w:rsidRPr="00AE337C">
        <w:rPr>
          <w:rFonts w:asciiTheme="minorHAnsi" w:hAnsiTheme="minorHAnsi" w:cstheme="minorHAnsi"/>
          <w:noProof/>
          <w:sz w:val="22"/>
          <w:szCs w:val="22"/>
          <w:lang w:val="en-US"/>
        </w:rPr>
        <w:t>. New York: Pearson/Longman.</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Davidson, R. (1993). </w:t>
      </w:r>
      <w:r w:rsidRPr="00AE337C">
        <w:rPr>
          <w:rFonts w:asciiTheme="minorHAnsi" w:hAnsiTheme="minorHAnsi" w:cstheme="minorHAnsi"/>
          <w:i/>
          <w:iCs/>
          <w:noProof/>
          <w:sz w:val="22"/>
          <w:szCs w:val="22"/>
          <w:lang w:val="en-US"/>
        </w:rPr>
        <w:t xml:space="preserve">The </w:t>
      </w:r>
      <w:r w:rsidR="004F2E04" w:rsidRPr="00AE337C">
        <w:rPr>
          <w:rFonts w:asciiTheme="minorHAnsi" w:hAnsiTheme="minorHAnsi" w:cstheme="minorHAnsi"/>
          <w:i/>
          <w:iCs/>
          <w:noProof/>
          <w:sz w:val="22"/>
          <w:szCs w:val="22"/>
          <w:lang w:val="en-US"/>
        </w:rPr>
        <w:t xml:space="preserve">Neuropsychology </w:t>
      </w:r>
      <w:r w:rsidRPr="00AE337C">
        <w:rPr>
          <w:rFonts w:asciiTheme="minorHAnsi" w:hAnsiTheme="minorHAnsi" w:cstheme="minorHAnsi"/>
          <w:i/>
          <w:iCs/>
          <w:noProof/>
          <w:sz w:val="22"/>
          <w:szCs w:val="22"/>
          <w:lang w:val="en-US"/>
        </w:rPr>
        <w:t xml:space="preserve">of </w:t>
      </w:r>
      <w:r w:rsidR="004F2E04" w:rsidRPr="00AE337C">
        <w:rPr>
          <w:rFonts w:asciiTheme="minorHAnsi" w:hAnsiTheme="minorHAnsi" w:cstheme="minorHAnsi"/>
          <w:i/>
          <w:iCs/>
          <w:noProof/>
          <w:sz w:val="22"/>
          <w:szCs w:val="22"/>
          <w:lang w:val="en-US"/>
        </w:rPr>
        <w:t xml:space="preserve">Emotion </w:t>
      </w:r>
      <w:r w:rsidRPr="00AE337C">
        <w:rPr>
          <w:rFonts w:asciiTheme="minorHAnsi" w:hAnsiTheme="minorHAnsi" w:cstheme="minorHAnsi"/>
          <w:i/>
          <w:iCs/>
          <w:noProof/>
          <w:sz w:val="22"/>
          <w:szCs w:val="22"/>
          <w:lang w:val="en-US"/>
        </w:rPr>
        <w:t xml:space="preserve">and </w:t>
      </w:r>
      <w:r w:rsidR="004F2E04" w:rsidRPr="00AE337C">
        <w:rPr>
          <w:rFonts w:asciiTheme="minorHAnsi" w:hAnsiTheme="minorHAnsi" w:cstheme="minorHAnsi"/>
          <w:i/>
          <w:iCs/>
          <w:noProof/>
          <w:sz w:val="22"/>
          <w:szCs w:val="22"/>
          <w:lang w:val="en-US"/>
        </w:rPr>
        <w:t>Affective Style</w:t>
      </w:r>
      <w:r w:rsidRPr="00AE337C">
        <w:rPr>
          <w:rFonts w:asciiTheme="minorHAnsi" w:hAnsiTheme="minorHAnsi" w:cstheme="minorHAnsi"/>
          <w:i/>
          <w:iCs/>
          <w:noProof/>
          <w:sz w:val="22"/>
          <w:szCs w:val="22"/>
          <w:lang w:val="en-US"/>
        </w:rPr>
        <w:t>.</w:t>
      </w:r>
      <w:r w:rsidRPr="00AE337C">
        <w:rPr>
          <w:rFonts w:asciiTheme="minorHAnsi" w:hAnsiTheme="minorHAnsi" w:cstheme="minorHAnsi"/>
          <w:noProof/>
          <w:sz w:val="22"/>
          <w:szCs w:val="22"/>
          <w:lang w:val="en-US"/>
        </w:rPr>
        <w:t xml:space="preserve"> ( editors. G. P. N. Y. In: Lewis M, Haviland JM, Ed.). New York: Guilford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Diener, E. (1984). Subjective well-being. </w:t>
      </w:r>
      <w:r w:rsidRPr="00AE337C">
        <w:rPr>
          <w:rFonts w:asciiTheme="minorHAnsi" w:hAnsiTheme="minorHAnsi" w:cstheme="minorHAnsi"/>
          <w:i/>
          <w:iCs/>
          <w:noProof/>
          <w:sz w:val="22"/>
          <w:szCs w:val="22"/>
          <w:lang w:val="en-US"/>
        </w:rPr>
        <w:t>Psychological Bulletin</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95</w:t>
      </w:r>
      <w:r w:rsidRPr="00AE337C">
        <w:rPr>
          <w:rFonts w:asciiTheme="minorHAnsi" w:hAnsiTheme="minorHAnsi" w:cstheme="minorHAnsi"/>
          <w:noProof/>
          <w:sz w:val="22"/>
          <w:szCs w:val="22"/>
          <w:lang w:val="en-US"/>
        </w:rPr>
        <w:t>, 542–575.</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Earle, E. R. (2014). </w:t>
      </w:r>
      <w:r w:rsidRPr="00AE337C">
        <w:rPr>
          <w:rFonts w:asciiTheme="minorHAnsi" w:hAnsiTheme="minorHAnsi" w:cstheme="minorHAnsi"/>
          <w:i/>
          <w:iCs/>
          <w:noProof/>
          <w:sz w:val="22"/>
          <w:szCs w:val="22"/>
          <w:lang w:val="en-US"/>
        </w:rPr>
        <w:t>Paul Tillich’s Communication Theology and the Rhetoric of Existentialism</w:t>
      </w:r>
      <w:r w:rsidRPr="00AE337C">
        <w:rPr>
          <w:rFonts w:asciiTheme="minorHAnsi" w:hAnsiTheme="minorHAnsi" w:cstheme="minorHAnsi"/>
          <w:noProof/>
          <w:sz w:val="22"/>
          <w:szCs w:val="22"/>
          <w:lang w:val="en-US"/>
        </w:rPr>
        <w:t>. Louisiana State University.</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Fischer, R., &amp; Boer, D. (2011). What is more important for national well-being: money or autonomy? A meta-analysis of well-being, burnout, and anxiety across 63 societies. </w:t>
      </w:r>
      <w:r w:rsidRPr="00AE337C">
        <w:rPr>
          <w:rFonts w:asciiTheme="minorHAnsi" w:hAnsiTheme="minorHAnsi" w:cstheme="minorHAnsi"/>
          <w:i/>
          <w:iCs/>
          <w:noProof/>
          <w:sz w:val="22"/>
          <w:szCs w:val="22"/>
          <w:lang w:val="en-US"/>
        </w:rPr>
        <w:t>J. Pers. Soc. Psychol.</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101</w:t>
      </w:r>
      <w:r w:rsidRPr="00AE337C">
        <w:rPr>
          <w:rFonts w:asciiTheme="minorHAnsi" w:hAnsiTheme="minorHAnsi" w:cstheme="minorHAnsi"/>
          <w:noProof/>
          <w:sz w:val="22"/>
          <w:szCs w:val="22"/>
          <w:lang w:val="en-US"/>
        </w:rPr>
        <w:t>, 164–184.</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Fredrickson, B. L. (2004). The broaden-and-build theory of positive emotions. </w:t>
      </w:r>
      <w:r w:rsidRPr="00AE337C">
        <w:rPr>
          <w:rFonts w:asciiTheme="minorHAnsi" w:hAnsiTheme="minorHAnsi" w:cstheme="minorHAnsi"/>
          <w:i/>
          <w:iCs/>
          <w:noProof/>
          <w:sz w:val="22"/>
          <w:szCs w:val="22"/>
          <w:lang w:val="en-US"/>
        </w:rPr>
        <w:t>The Royal Society</w:t>
      </w:r>
      <w:r w:rsidRPr="00AE337C">
        <w:rPr>
          <w:rFonts w:asciiTheme="minorHAnsi" w:hAnsiTheme="minorHAnsi" w:cstheme="minorHAnsi"/>
          <w:noProof/>
          <w:sz w:val="22"/>
          <w:szCs w:val="22"/>
          <w:lang w:val="en-US"/>
        </w:rPr>
        <w:t>.</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Keith, W. M., &amp; Lundberg, C. O. (2008). </w:t>
      </w:r>
      <w:r w:rsidRPr="00AE337C">
        <w:rPr>
          <w:rFonts w:asciiTheme="minorHAnsi" w:hAnsiTheme="minorHAnsi" w:cstheme="minorHAnsi"/>
          <w:i/>
          <w:iCs/>
          <w:noProof/>
          <w:sz w:val="22"/>
          <w:szCs w:val="22"/>
          <w:lang w:val="en-US"/>
        </w:rPr>
        <w:t>The Essential Guide to Rhetoric</w:t>
      </w:r>
      <w:r w:rsidRPr="00AE337C">
        <w:rPr>
          <w:rFonts w:asciiTheme="minorHAnsi" w:hAnsiTheme="minorHAnsi" w:cstheme="minorHAnsi"/>
          <w:noProof/>
          <w:sz w:val="22"/>
          <w:szCs w:val="22"/>
          <w:lang w:val="en-US"/>
        </w:rPr>
        <w:t>. Bedford: St. Martin’s.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Kinneavy, J. . (1971). </w:t>
      </w:r>
      <w:r w:rsidRPr="00AE337C">
        <w:rPr>
          <w:rFonts w:asciiTheme="minorHAnsi" w:hAnsiTheme="minorHAnsi" w:cstheme="minorHAnsi"/>
          <w:i/>
          <w:iCs/>
          <w:noProof/>
          <w:sz w:val="22"/>
          <w:szCs w:val="22"/>
          <w:lang w:val="en-US"/>
        </w:rPr>
        <w:t>A theory of Discourse</w:t>
      </w:r>
      <w:r w:rsidRPr="00AE337C">
        <w:rPr>
          <w:rFonts w:asciiTheme="minorHAnsi" w:hAnsiTheme="minorHAnsi" w:cstheme="minorHAnsi"/>
          <w:noProof/>
          <w:sz w:val="22"/>
          <w:szCs w:val="22"/>
          <w:lang w:val="en-US"/>
        </w:rPr>
        <w:t>. New York: W.W.Norton &amp; Company.</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Kitayama, S., Snibbe, A. C., Markus, H. R., &amp; Suzuki, T. (2004). Is there any “free” choice? Self and dissonance in two cultures. </w:t>
      </w:r>
      <w:r w:rsidRPr="00AE337C">
        <w:rPr>
          <w:rFonts w:asciiTheme="minorHAnsi" w:hAnsiTheme="minorHAnsi" w:cstheme="minorHAnsi"/>
          <w:i/>
          <w:iCs/>
          <w:noProof/>
          <w:sz w:val="22"/>
          <w:szCs w:val="22"/>
          <w:lang w:val="en-US"/>
        </w:rPr>
        <w:t>Psychol. Sci</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15</w:t>
      </w:r>
      <w:r w:rsidRPr="00AE337C">
        <w:rPr>
          <w:rFonts w:asciiTheme="minorHAnsi" w:hAnsiTheme="minorHAnsi" w:cstheme="minorHAnsi"/>
          <w:noProof/>
          <w:sz w:val="22"/>
          <w:szCs w:val="22"/>
          <w:lang w:val="en-US"/>
        </w:rPr>
        <w:t>, 527–533.</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Lopez, S. J. (2011). </w:t>
      </w:r>
      <w:r w:rsidRPr="00AE337C">
        <w:rPr>
          <w:rFonts w:asciiTheme="minorHAnsi" w:hAnsiTheme="minorHAnsi" w:cstheme="minorHAnsi"/>
          <w:i/>
          <w:iCs/>
          <w:noProof/>
          <w:sz w:val="22"/>
          <w:szCs w:val="22"/>
          <w:lang w:val="en-US"/>
        </w:rPr>
        <w:t>The Encyclopedia of Positive Psychology</w:t>
      </w:r>
      <w:r w:rsidRPr="00AE337C">
        <w:rPr>
          <w:rFonts w:asciiTheme="minorHAnsi" w:hAnsiTheme="minorHAnsi" w:cstheme="minorHAnsi"/>
          <w:noProof/>
          <w:sz w:val="22"/>
          <w:szCs w:val="22"/>
          <w:lang w:val="en-US"/>
        </w:rPr>
        <w:t>. New Jersey, USA: Wiley-Blackwell Publishing.</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Lyubomirsky, S. (2008). </w:t>
      </w:r>
      <w:r w:rsidRPr="00AE337C">
        <w:rPr>
          <w:rFonts w:asciiTheme="minorHAnsi" w:hAnsiTheme="minorHAnsi" w:cstheme="minorHAnsi"/>
          <w:i/>
          <w:iCs/>
          <w:noProof/>
          <w:sz w:val="22"/>
          <w:szCs w:val="22"/>
          <w:lang w:val="en-US"/>
        </w:rPr>
        <w:t>The How of Happiness: A New Approach to Getting the Life You Want</w:t>
      </w:r>
      <w:r w:rsidRPr="00AE337C">
        <w:rPr>
          <w:rFonts w:asciiTheme="minorHAnsi" w:hAnsiTheme="minorHAnsi" w:cstheme="minorHAnsi"/>
          <w:noProof/>
          <w:sz w:val="22"/>
          <w:szCs w:val="22"/>
          <w:lang w:val="en-US"/>
        </w:rPr>
        <w:t xml:space="preserve"> (Reprint ed). UK: Penguin Books.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Metz, S. M. (2005). </w:t>
      </w:r>
      <w:r w:rsidRPr="00AE337C">
        <w:rPr>
          <w:rFonts w:asciiTheme="minorHAnsi" w:hAnsiTheme="minorHAnsi" w:cstheme="minorHAnsi"/>
          <w:i/>
          <w:iCs/>
          <w:noProof/>
          <w:sz w:val="22"/>
          <w:szCs w:val="22"/>
          <w:lang w:val="en-US"/>
        </w:rPr>
        <w:t>Dr. Martin Luther King , Jr. and MalcolmX: The Power and Legacy of Prophetic Discourse in the Civil Rights Movement</w:t>
      </w:r>
      <w:r w:rsidRPr="00AE337C">
        <w:rPr>
          <w:rFonts w:asciiTheme="minorHAnsi" w:hAnsiTheme="minorHAnsi" w:cstheme="minorHAnsi"/>
          <w:noProof/>
          <w:sz w:val="22"/>
          <w:szCs w:val="22"/>
          <w:lang w:val="en-US"/>
        </w:rPr>
        <w:t>. University of Tennessee Knoxville.</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lastRenderedPageBreak/>
        <w:t xml:space="preserve">Michel, T. (2005). </w:t>
      </w:r>
      <w:r w:rsidRPr="00AE337C">
        <w:rPr>
          <w:rFonts w:asciiTheme="minorHAnsi" w:hAnsiTheme="minorHAnsi" w:cstheme="minorHAnsi"/>
          <w:i/>
          <w:iCs/>
          <w:noProof/>
          <w:sz w:val="22"/>
          <w:szCs w:val="22"/>
          <w:lang w:val="en-US"/>
        </w:rPr>
        <w:t>Said Nursi’s Views On Muslim-Christian Understanding</w:t>
      </w:r>
      <w:r w:rsidRPr="00AE337C">
        <w:rPr>
          <w:rFonts w:asciiTheme="minorHAnsi" w:hAnsiTheme="minorHAnsi" w:cstheme="minorHAnsi"/>
          <w:noProof/>
          <w:sz w:val="22"/>
          <w:szCs w:val="22"/>
          <w:lang w:val="en-US"/>
        </w:rPr>
        <w:t>. Istanbul, Turkey: Soz Publication.</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Noe, J. R. (2006). </w:t>
      </w:r>
      <w:r w:rsidRPr="00AE337C">
        <w:rPr>
          <w:rFonts w:asciiTheme="minorHAnsi" w:hAnsiTheme="minorHAnsi" w:cstheme="minorHAnsi"/>
          <w:i/>
          <w:iCs/>
          <w:noProof/>
          <w:sz w:val="22"/>
          <w:szCs w:val="22"/>
          <w:lang w:val="en-US"/>
        </w:rPr>
        <w:t>Peak Performance Principles for High Achievers</w:t>
      </w:r>
      <w:r w:rsidRPr="00AE337C">
        <w:rPr>
          <w:rFonts w:asciiTheme="minorHAnsi" w:hAnsiTheme="minorHAnsi" w:cstheme="minorHAnsi"/>
          <w:noProof/>
          <w:sz w:val="22"/>
          <w:szCs w:val="22"/>
          <w:lang w:val="en-US"/>
        </w:rPr>
        <w:t>. United States of America: Frederick Fell Publisher.</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(2006). </w:t>
      </w:r>
      <w:r w:rsidRPr="00AE337C">
        <w:rPr>
          <w:rFonts w:asciiTheme="minorHAnsi" w:hAnsiTheme="minorHAnsi" w:cstheme="minorHAnsi"/>
          <w:i/>
          <w:iCs/>
          <w:noProof/>
          <w:sz w:val="22"/>
          <w:szCs w:val="22"/>
          <w:lang w:val="en-US"/>
        </w:rPr>
        <w:t>The Kastamonu Letter (Turkish Kastamonu Lahikasi) (Original work published 1936-1943)</w:t>
      </w:r>
      <w:r w:rsidRPr="00AE337C">
        <w:rPr>
          <w:rFonts w:asciiTheme="minorHAnsi" w:hAnsiTheme="minorHAnsi" w:cstheme="minorHAnsi"/>
          <w:noProof/>
          <w:sz w:val="22"/>
          <w:szCs w:val="22"/>
          <w:lang w:val="en-US"/>
        </w:rPr>
        <w:t>. Istanbul, Turkey: Soz Basin Yagin.</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(2008a). </w:t>
      </w:r>
      <w:r w:rsidRPr="00AE337C">
        <w:rPr>
          <w:rFonts w:asciiTheme="minorHAnsi" w:hAnsiTheme="minorHAnsi" w:cstheme="minorHAnsi"/>
          <w:i/>
          <w:iCs/>
          <w:noProof/>
          <w:sz w:val="22"/>
          <w:szCs w:val="22"/>
          <w:lang w:val="en-US"/>
        </w:rPr>
        <w:t xml:space="preserve">The </w:t>
      </w:r>
      <w:r w:rsidR="004F2E04" w:rsidRPr="00AE337C">
        <w:rPr>
          <w:rFonts w:asciiTheme="minorHAnsi" w:hAnsiTheme="minorHAnsi" w:cstheme="minorHAnsi"/>
          <w:i/>
          <w:iCs/>
          <w:noProof/>
          <w:sz w:val="22"/>
          <w:szCs w:val="22"/>
          <w:lang w:val="en-US"/>
        </w:rPr>
        <w:t xml:space="preserve">Reasoning </w:t>
      </w:r>
      <w:r w:rsidRPr="00AE337C">
        <w:rPr>
          <w:rFonts w:asciiTheme="minorHAnsi" w:hAnsiTheme="minorHAnsi" w:cstheme="minorHAnsi"/>
          <w:i/>
          <w:iCs/>
          <w:noProof/>
          <w:sz w:val="22"/>
          <w:szCs w:val="22"/>
          <w:lang w:val="en-US"/>
        </w:rPr>
        <w:t>(Turkish Muhakemat, Huseyin Akarsu, Trans) (Original work published 1913)</w:t>
      </w:r>
      <w:r w:rsidRPr="00AE337C">
        <w:rPr>
          <w:rFonts w:asciiTheme="minorHAnsi" w:hAnsiTheme="minorHAnsi" w:cstheme="minorHAnsi"/>
          <w:noProof/>
          <w:sz w:val="22"/>
          <w:szCs w:val="22"/>
          <w:lang w:val="en-US"/>
        </w:rPr>
        <w:t>. New Jersey, USA: Tugra Books.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(2008b). </w:t>
      </w:r>
      <w:r w:rsidRPr="00AE337C">
        <w:rPr>
          <w:rFonts w:asciiTheme="minorHAnsi" w:hAnsiTheme="minorHAnsi" w:cstheme="minorHAnsi"/>
          <w:i/>
          <w:iCs/>
          <w:noProof/>
          <w:sz w:val="22"/>
          <w:szCs w:val="22"/>
          <w:lang w:val="en-US"/>
        </w:rPr>
        <w:t>The Words (Turkish Sozler, Sukran Vahide, Trans)</w:t>
      </w:r>
      <w:r w:rsidRPr="00AE337C">
        <w:rPr>
          <w:rFonts w:asciiTheme="minorHAnsi" w:hAnsiTheme="minorHAnsi" w:cstheme="minorHAnsi"/>
          <w:noProof/>
          <w:sz w:val="22"/>
          <w:szCs w:val="22"/>
          <w:lang w:val="en-US"/>
        </w:rPr>
        <w:t>. Istanbul, Turkey: Sozler Nesriyat Tic.ve San.A.S.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(2010). </w:t>
      </w:r>
      <w:r w:rsidRPr="00AE337C">
        <w:rPr>
          <w:rFonts w:asciiTheme="minorHAnsi" w:hAnsiTheme="minorHAnsi" w:cstheme="minorHAnsi"/>
          <w:i/>
          <w:iCs/>
          <w:noProof/>
          <w:sz w:val="22"/>
          <w:szCs w:val="22"/>
          <w:lang w:val="en-US"/>
        </w:rPr>
        <w:t>The Letters (Turkish Mektubat, Sukran Vahide, Trans)</w:t>
      </w:r>
      <w:r w:rsidRPr="00AE337C">
        <w:rPr>
          <w:rFonts w:asciiTheme="minorHAnsi" w:hAnsiTheme="minorHAnsi" w:cstheme="minorHAnsi"/>
          <w:noProof/>
          <w:sz w:val="22"/>
          <w:szCs w:val="22"/>
          <w:lang w:val="en-US"/>
        </w:rPr>
        <w:t>. Istanbul, Turkey: Sozler Nesriyat Tic.ve San.A.S.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(2011a). </w:t>
      </w:r>
      <w:r w:rsidRPr="00AE337C">
        <w:rPr>
          <w:rFonts w:asciiTheme="minorHAnsi" w:hAnsiTheme="minorHAnsi" w:cstheme="minorHAnsi"/>
          <w:i/>
          <w:iCs/>
          <w:noProof/>
          <w:sz w:val="22"/>
          <w:szCs w:val="22"/>
          <w:lang w:val="en-US"/>
        </w:rPr>
        <w:t>Emirdag Lahikasi II</w:t>
      </w:r>
      <w:r w:rsidRPr="00AE337C">
        <w:rPr>
          <w:rFonts w:asciiTheme="minorHAnsi" w:hAnsiTheme="minorHAnsi" w:cstheme="minorHAnsi"/>
          <w:noProof/>
          <w:sz w:val="22"/>
          <w:szCs w:val="22"/>
          <w:lang w:val="en-US"/>
        </w:rPr>
        <w:t>. Istanbul, Turkey: RNK Nesriyat.</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(2011b). </w:t>
      </w:r>
      <w:r w:rsidRPr="00AE337C">
        <w:rPr>
          <w:rFonts w:asciiTheme="minorHAnsi" w:hAnsiTheme="minorHAnsi" w:cstheme="minorHAnsi"/>
          <w:i/>
          <w:iCs/>
          <w:noProof/>
          <w:sz w:val="22"/>
          <w:szCs w:val="22"/>
          <w:lang w:val="en-US"/>
        </w:rPr>
        <w:t>The Flashes (Turkish Lem’alar, Sukran Vahide, Trans)</w:t>
      </w:r>
      <w:r w:rsidRPr="00AE337C">
        <w:rPr>
          <w:rFonts w:asciiTheme="minorHAnsi" w:hAnsiTheme="minorHAnsi" w:cstheme="minorHAnsi"/>
          <w:noProof/>
          <w:sz w:val="22"/>
          <w:szCs w:val="22"/>
          <w:lang w:val="en-US"/>
        </w:rPr>
        <w:t>. Istanbul, Turkey: Sozler Nesriyat Tic.ve San.A.S.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(2011c). </w:t>
      </w:r>
      <w:r w:rsidRPr="00AE337C">
        <w:rPr>
          <w:rFonts w:asciiTheme="minorHAnsi" w:hAnsiTheme="minorHAnsi" w:cstheme="minorHAnsi"/>
          <w:i/>
          <w:iCs/>
          <w:noProof/>
          <w:sz w:val="22"/>
          <w:szCs w:val="22"/>
          <w:lang w:val="en-US"/>
        </w:rPr>
        <w:t>Uhuvvet Risalesi</w:t>
      </w:r>
      <w:r w:rsidRPr="00AE337C">
        <w:rPr>
          <w:rFonts w:asciiTheme="minorHAnsi" w:hAnsiTheme="minorHAnsi" w:cstheme="minorHAnsi"/>
          <w:noProof/>
          <w:sz w:val="22"/>
          <w:szCs w:val="22"/>
          <w:lang w:val="en-US"/>
        </w:rPr>
        <w:t>. Istanbul, Turkey: Sözler Neşriyat.</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(2012). </w:t>
      </w:r>
      <w:r w:rsidRPr="00AE337C">
        <w:rPr>
          <w:rFonts w:asciiTheme="minorHAnsi" w:hAnsiTheme="minorHAnsi" w:cstheme="minorHAnsi"/>
          <w:i/>
          <w:iCs/>
          <w:noProof/>
          <w:sz w:val="22"/>
          <w:szCs w:val="22"/>
          <w:lang w:val="en-US"/>
        </w:rPr>
        <w:t>The Damascus Sermon From the Risale i Nur Collection Trans (Turkish “Hutbe-i Şâmiye”, Şükran Vahide,Trans)</w:t>
      </w:r>
      <w:r w:rsidRPr="00AE337C">
        <w:rPr>
          <w:rFonts w:asciiTheme="minorHAnsi" w:hAnsiTheme="minorHAnsi" w:cstheme="minorHAnsi"/>
          <w:noProof/>
          <w:sz w:val="22"/>
          <w:szCs w:val="22"/>
          <w:lang w:val="en-US"/>
        </w:rPr>
        <w:t xml:space="preserve"> (Second (re). Istanbul, Turkey: Sözler Neşriyat A.Ş. Istanbul. (Original work published 1911).</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(2013a). </w:t>
      </w:r>
      <w:r w:rsidRPr="00AE337C">
        <w:rPr>
          <w:rFonts w:asciiTheme="minorHAnsi" w:hAnsiTheme="minorHAnsi" w:cstheme="minorHAnsi"/>
          <w:i/>
          <w:iCs/>
          <w:noProof/>
          <w:sz w:val="22"/>
          <w:szCs w:val="22"/>
          <w:lang w:val="en-US"/>
        </w:rPr>
        <w:t>Lem’alar</w:t>
      </w:r>
      <w:r w:rsidRPr="00AE337C">
        <w:rPr>
          <w:rFonts w:asciiTheme="minorHAnsi" w:hAnsiTheme="minorHAnsi" w:cstheme="minorHAnsi"/>
          <w:noProof/>
          <w:sz w:val="22"/>
          <w:szCs w:val="22"/>
          <w:lang w:val="en-US"/>
        </w:rPr>
        <w:t>. RNK Neşriyat.</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(2013b). </w:t>
      </w:r>
      <w:r w:rsidRPr="00AE337C">
        <w:rPr>
          <w:rFonts w:asciiTheme="minorHAnsi" w:hAnsiTheme="minorHAnsi" w:cstheme="minorHAnsi"/>
          <w:i/>
          <w:iCs/>
          <w:noProof/>
          <w:sz w:val="22"/>
          <w:szCs w:val="22"/>
          <w:lang w:val="en-US"/>
        </w:rPr>
        <w:t>Tarihçe-i Hayatı, 11</w:t>
      </w:r>
      <w:r w:rsidRPr="00AE337C">
        <w:rPr>
          <w:rFonts w:asciiTheme="minorHAnsi" w:hAnsiTheme="minorHAnsi" w:cstheme="minorHAnsi"/>
          <w:noProof/>
          <w:sz w:val="22"/>
          <w:szCs w:val="22"/>
          <w:lang w:val="en-US"/>
        </w:rPr>
        <w:t>. Istanbul, Turkey: RNK Neşriyat.</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(2014). </w:t>
      </w:r>
      <w:r w:rsidRPr="00AE337C">
        <w:rPr>
          <w:rFonts w:asciiTheme="minorHAnsi" w:hAnsiTheme="minorHAnsi" w:cstheme="minorHAnsi"/>
          <w:i/>
          <w:iCs/>
          <w:noProof/>
          <w:sz w:val="22"/>
          <w:szCs w:val="22"/>
          <w:lang w:val="en-US"/>
        </w:rPr>
        <w:t>The Emirdag Letters (Turkish Emirdag Lahikasi)</w:t>
      </w:r>
      <w:r w:rsidRPr="00AE337C">
        <w:rPr>
          <w:rFonts w:asciiTheme="minorHAnsi" w:hAnsiTheme="minorHAnsi" w:cstheme="minorHAnsi"/>
          <w:noProof/>
          <w:sz w:val="22"/>
          <w:szCs w:val="22"/>
          <w:lang w:val="en-US"/>
        </w:rPr>
        <w:t>. Istanbul, Turkey: Işık Yayıncılık Ticaret.</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Nursi, B. S. (2015a). </w:t>
      </w:r>
      <w:r w:rsidRPr="00AE337C">
        <w:rPr>
          <w:rFonts w:asciiTheme="minorHAnsi" w:hAnsiTheme="minorHAnsi" w:cstheme="minorHAnsi"/>
          <w:i/>
          <w:iCs/>
          <w:noProof/>
          <w:sz w:val="22"/>
          <w:szCs w:val="22"/>
          <w:lang w:val="en-US"/>
        </w:rPr>
        <w:t>Denizli ve Emirdağ Lâhikaları, (Mektup sırası 26)</w:t>
      </w:r>
      <w:r w:rsidRPr="00AE337C">
        <w:rPr>
          <w:rFonts w:asciiTheme="minorHAnsi" w:hAnsiTheme="minorHAnsi" w:cstheme="minorHAnsi"/>
          <w:noProof/>
          <w:sz w:val="22"/>
          <w:szCs w:val="22"/>
          <w:lang w:val="en-US"/>
        </w:rPr>
        <w:t>. Retrieved from nur.gen.tr,</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lastRenderedPageBreak/>
        <w:t xml:space="preserve">Nursi, B. S. (2015b). </w:t>
      </w:r>
      <w:r w:rsidRPr="00AE337C">
        <w:rPr>
          <w:rFonts w:asciiTheme="minorHAnsi" w:hAnsiTheme="minorHAnsi" w:cstheme="minorHAnsi"/>
          <w:i/>
          <w:iCs/>
          <w:noProof/>
          <w:sz w:val="22"/>
          <w:szCs w:val="22"/>
          <w:lang w:val="en-US"/>
        </w:rPr>
        <w:t>Short Words Risale-i Nur Collection (Sukran Vahide, trans)</w:t>
      </w:r>
      <w:r w:rsidRPr="00AE337C">
        <w:rPr>
          <w:rFonts w:asciiTheme="minorHAnsi" w:hAnsiTheme="minorHAnsi" w:cstheme="minorHAnsi"/>
          <w:noProof/>
          <w:sz w:val="22"/>
          <w:szCs w:val="22"/>
          <w:lang w:val="en-US"/>
        </w:rPr>
        <w:t>. Istanbul, Turkey: Risale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O’Hara, D. (2013). </w:t>
      </w:r>
      <w:r w:rsidRPr="00AE337C">
        <w:rPr>
          <w:rFonts w:asciiTheme="minorHAnsi" w:hAnsiTheme="minorHAnsi" w:cstheme="minorHAnsi"/>
          <w:i/>
          <w:iCs/>
          <w:noProof/>
          <w:sz w:val="22"/>
          <w:szCs w:val="22"/>
          <w:lang w:val="en-US"/>
        </w:rPr>
        <w:t>Hope in Counseling and Psychotherapy</w:t>
      </w:r>
      <w:r w:rsidRPr="00AE337C">
        <w:rPr>
          <w:rFonts w:asciiTheme="minorHAnsi" w:hAnsiTheme="minorHAnsi" w:cstheme="minorHAnsi"/>
          <w:noProof/>
          <w:sz w:val="22"/>
          <w:szCs w:val="22"/>
          <w:lang w:val="en-US"/>
        </w:rPr>
        <w:t>. University of Abertay, Dundee: SAGE.</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Oishi, S. (2012). </w:t>
      </w:r>
      <w:r w:rsidRPr="00AE337C">
        <w:rPr>
          <w:rFonts w:asciiTheme="minorHAnsi" w:hAnsiTheme="minorHAnsi" w:cstheme="minorHAnsi"/>
          <w:i/>
          <w:iCs/>
          <w:noProof/>
          <w:sz w:val="22"/>
          <w:szCs w:val="22"/>
          <w:lang w:val="en-US"/>
        </w:rPr>
        <w:t>The Psychological Wealth of Nations: Do Happy People Make a Happy Society?</w:t>
      </w:r>
      <w:r w:rsidRPr="00AE337C">
        <w:rPr>
          <w:rFonts w:asciiTheme="minorHAnsi" w:hAnsiTheme="minorHAnsi" w:cstheme="minorHAnsi"/>
          <w:noProof/>
          <w:sz w:val="22"/>
          <w:szCs w:val="22"/>
          <w:lang w:val="en-US"/>
        </w:rPr>
        <w:t xml:space="preserve"> USA: Blackwell Publishing Ltd.</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Oishi, S., Kesebir, S., Miao, F. F., Talhelm, T., Endo, Y., &amp; Uchida, Y. (2013). Residential </w:t>
      </w:r>
      <w:r w:rsidR="004F2E04" w:rsidRPr="00AE337C">
        <w:rPr>
          <w:rFonts w:asciiTheme="minorHAnsi" w:hAnsiTheme="minorHAnsi" w:cstheme="minorHAnsi"/>
          <w:noProof/>
          <w:sz w:val="22"/>
          <w:szCs w:val="22"/>
          <w:lang w:val="en-US"/>
        </w:rPr>
        <w:t>Mobility Increases Motivation to Expand Social Network</w:t>
      </w:r>
      <w:r w:rsidRPr="00AE337C">
        <w:rPr>
          <w:rFonts w:asciiTheme="minorHAnsi" w:hAnsiTheme="minorHAnsi" w:cstheme="minorHAnsi"/>
          <w:noProof/>
          <w:sz w:val="22"/>
          <w:szCs w:val="22"/>
          <w:lang w:val="en-US"/>
        </w:rPr>
        <w:t xml:space="preserve">: but </w:t>
      </w:r>
      <w:r w:rsidR="004F2E04" w:rsidRPr="00AE337C">
        <w:rPr>
          <w:rFonts w:asciiTheme="minorHAnsi" w:hAnsiTheme="minorHAnsi" w:cstheme="minorHAnsi"/>
          <w:noProof/>
          <w:sz w:val="22"/>
          <w:szCs w:val="22"/>
          <w:lang w:val="en-US"/>
        </w:rPr>
        <w:t>Why</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J. Exp. Soc. Psychol</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49</w:t>
      </w:r>
      <w:r w:rsidRPr="00AE337C">
        <w:rPr>
          <w:rFonts w:asciiTheme="minorHAnsi" w:hAnsiTheme="minorHAnsi" w:cstheme="minorHAnsi"/>
          <w:noProof/>
          <w:sz w:val="22"/>
          <w:szCs w:val="22"/>
          <w:lang w:val="en-US"/>
        </w:rPr>
        <w:t>, 217–223.</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Park, L. E., &amp; Crocker, J. (2005). Interpersonal </w:t>
      </w:r>
      <w:r w:rsidR="004F2E04" w:rsidRPr="00AE337C">
        <w:rPr>
          <w:rFonts w:asciiTheme="minorHAnsi" w:hAnsiTheme="minorHAnsi" w:cstheme="minorHAnsi"/>
          <w:noProof/>
          <w:sz w:val="22"/>
          <w:szCs w:val="22"/>
          <w:lang w:val="en-US"/>
        </w:rPr>
        <w:t>Consequences of Seeking Self-Esteem</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Pers. Soc. Psychol. Bull</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31</w:t>
      </w:r>
      <w:r w:rsidRPr="00AE337C">
        <w:rPr>
          <w:rFonts w:asciiTheme="minorHAnsi" w:hAnsiTheme="minorHAnsi" w:cstheme="minorHAnsi"/>
          <w:noProof/>
          <w:sz w:val="22"/>
          <w:szCs w:val="22"/>
          <w:lang w:val="en-US"/>
        </w:rPr>
        <w:t>, 1587–1598.</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Rothwell, J. D. (2010). </w:t>
      </w:r>
      <w:r w:rsidRPr="00AE337C">
        <w:rPr>
          <w:rFonts w:asciiTheme="minorHAnsi" w:hAnsiTheme="minorHAnsi" w:cstheme="minorHAnsi"/>
          <w:i/>
          <w:iCs/>
          <w:noProof/>
          <w:sz w:val="22"/>
          <w:szCs w:val="22"/>
          <w:lang w:val="en-US"/>
        </w:rPr>
        <w:t>In the Company of Others, An Introduction to Communication</w:t>
      </w:r>
      <w:r w:rsidRPr="00AE337C">
        <w:rPr>
          <w:rFonts w:asciiTheme="minorHAnsi" w:hAnsiTheme="minorHAnsi" w:cstheme="minorHAnsi"/>
          <w:noProof/>
          <w:sz w:val="22"/>
          <w:szCs w:val="22"/>
          <w:lang w:val="en-US"/>
        </w:rPr>
        <w:t>. New York: Oxford University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Sayilgan, M. S. (2012). </w:t>
      </w:r>
      <w:r w:rsidRPr="00AE337C">
        <w:rPr>
          <w:rFonts w:asciiTheme="minorHAnsi" w:hAnsiTheme="minorHAnsi" w:cstheme="minorHAnsi"/>
          <w:i/>
          <w:iCs/>
          <w:noProof/>
          <w:sz w:val="22"/>
          <w:szCs w:val="22"/>
          <w:lang w:val="en-US"/>
        </w:rPr>
        <w:t>Constructing an Islamic Ethics of Non-Violence: The Case of Bediuzzaman Said Nursi</w:t>
      </w:r>
      <w:r w:rsidRPr="00AE337C">
        <w:rPr>
          <w:rFonts w:asciiTheme="minorHAnsi" w:hAnsiTheme="minorHAnsi" w:cstheme="minorHAnsi"/>
          <w:noProof/>
          <w:sz w:val="22"/>
          <w:szCs w:val="22"/>
          <w:lang w:val="en-US"/>
        </w:rPr>
        <w:t>. University of Alberta, Canada.</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Schug, J., Yuki, M., Horikawa, H., &amp; Takemura, K. (2009). </w:t>
      </w:r>
      <w:r w:rsidR="004F2E04" w:rsidRPr="00AE337C">
        <w:rPr>
          <w:rFonts w:asciiTheme="minorHAnsi" w:hAnsiTheme="minorHAnsi" w:cstheme="minorHAnsi"/>
          <w:noProof/>
          <w:sz w:val="22"/>
          <w:szCs w:val="22"/>
          <w:lang w:val="en-US"/>
        </w:rPr>
        <w:t>Similarity Attraction and Actually Selecting Similar Others: How Cross-Societal Differences in Relational Mobility Affect Interpersonal Similarity</w:t>
      </w:r>
      <w:r w:rsidRPr="00AE337C">
        <w:rPr>
          <w:rFonts w:asciiTheme="minorHAnsi" w:hAnsiTheme="minorHAnsi" w:cstheme="minorHAnsi"/>
          <w:noProof/>
          <w:sz w:val="22"/>
          <w:szCs w:val="22"/>
          <w:lang w:val="en-US"/>
        </w:rPr>
        <w:t xml:space="preserve"> in Japan and the United States. </w:t>
      </w:r>
      <w:r w:rsidRPr="00AE337C">
        <w:rPr>
          <w:rFonts w:asciiTheme="minorHAnsi" w:hAnsiTheme="minorHAnsi" w:cstheme="minorHAnsi"/>
          <w:i/>
          <w:iCs/>
          <w:noProof/>
          <w:sz w:val="22"/>
          <w:szCs w:val="22"/>
          <w:lang w:val="en-US"/>
        </w:rPr>
        <w:t>Asian Journal of Social Psychology</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12</w:t>
      </w:r>
      <w:r w:rsidRPr="00AE337C">
        <w:rPr>
          <w:rFonts w:asciiTheme="minorHAnsi" w:hAnsiTheme="minorHAnsi" w:cstheme="minorHAnsi"/>
          <w:noProof/>
          <w:sz w:val="22"/>
          <w:szCs w:val="22"/>
          <w:lang w:val="en-US"/>
        </w:rPr>
        <w:t>, 95–103.</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Snyder, C. R. (2000). There is Hope. In C. R. Snyder (Ed.), </w:t>
      </w:r>
      <w:r w:rsidRPr="00AE337C">
        <w:rPr>
          <w:rFonts w:asciiTheme="minorHAnsi" w:hAnsiTheme="minorHAnsi" w:cstheme="minorHAnsi"/>
          <w:i/>
          <w:iCs/>
          <w:noProof/>
          <w:sz w:val="22"/>
          <w:szCs w:val="22"/>
          <w:lang w:val="en-US"/>
        </w:rPr>
        <w:t>Handbook of Hope Theory, Measures and Applications</w:t>
      </w:r>
      <w:r w:rsidRPr="00AE337C">
        <w:rPr>
          <w:rFonts w:asciiTheme="minorHAnsi" w:hAnsiTheme="minorHAnsi" w:cstheme="minorHAnsi"/>
          <w:noProof/>
          <w:sz w:val="22"/>
          <w:szCs w:val="22"/>
          <w:lang w:val="en-US"/>
        </w:rPr>
        <w:t xml:space="preserve"> (pp. 3–21). San Diego: Academic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Snyder, C. R., Harris, C., Anderson, J. R., Holleran, S. A., Irving, L. M., &amp; Sigmon, S. T. (1991). The Will and the Ways: Development and Validation of an Individual-Differences Measure of Hope. </w:t>
      </w:r>
      <w:r w:rsidRPr="00AE337C">
        <w:rPr>
          <w:rFonts w:asciiTheme="minorHAnsi" w:hAnsiTheme="minorHAnsi" w:cstheme="minorHAnsi"/>
          <w:i/>
          <w:iCs/>
          <w:noProof/>
          <w:sz w:val="22"/>
          <w:szCs w:val="22"/>
          <w:lang w:val="en-US"/>
        </w:rPr>
        <w:t>. Journal of Personality and Social Psychology</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60</w:t>
      </w:r>
      <w:r w:rsidRPr="00AE337C">
        <w:rPr>
          <w:rFonts w:asciiTheme="minorHAnsi" w:hAnsiTheme="minorHAnsi" w:cstheme="minorHAnsi"/>
          <w:noProof/>
          <w:sz w:val="22"/>
          <w:szCs w:val="22"/>
          <w:lang w:val="en-US"/>
        </w:rPr>
        <w:t>(4), 570–585.</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Snyder, C. R., Sympson, S. C., Ybasco, F. C., Borders, T. F., Babyak, M. A., &amp; Higgins, R. L. (1996). Development and Validation of the State Hope Scale. </w:t>
      </w:r>
      <w:r w:rsidRPr="00AE337C">
        <w:rPr>
          <w:rFonts w:asciiTheme="minorHAnsi" w:hAnsiTheme="minorHAnsi" w:cstheme="minorHAnsi"/>
          <w:i/>
          <w:iCs/>
          <w:noProof/>
          <w:sz w:val="22"/>
          <w:szCs w:val="22"/>
          <w:lang w:val="en-US"/>
        </w:rPr>
        <w:t>Journal of Personality and Social Psychology</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70</w:t>
      </w:r>
      <w:r w:rsidRPr="00AE337C">
        <w:rPr>
          <w:rFonts w:asciiTheme="minorHAnsi" w:hAnsiTheme="minorHAnsi" w:cstheme="minorHAnsi"/>
          <w:noProof/>
          <w:sz w:val="22"/>
          <w:szCs w:val="22"/>
          <w:lang w:val="en-US"/>
        </w:rPr>
        <w:t>(2), 321–335.</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Triandis, H. C. (1995). </w:t>
      </w:r>
      <w:r w:rsidRPr="00AE337C">
        <w:rPr>
          <w:rFonts w:asciiTheme="minorHAnsi" w:hAnsiTheme="minorHAnsi" w:cstheme="minorHAnsi"/>
          <w:i/>
          <w:iCs/>
          <w:noProof/>
          <w:sz w:val="22"/>
          <w:szCs w:val="22"/>
          <w:lang w:val="en-US"/>
        </w:rPr>
        <w:t>Individualism and Collectivism</w:t>
      </w:r>
      <w:r w:rsidRPr="00AE337C">
        <w:rPr>
          <w:rFonts w:asciiTheme="minorHAnsi" w:hAnsiTheme="minorHAnsi" w:cstheme="minorHAnsi"/>
          <w:noProof/>
          <w:sz w:val="22"/>
          <w:szCs w:val="22"/>
          <w:lang w:val="en-US"/>
        </w:rPr>
        <w:t>. Boulder, CO: Westview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lastRenderedPageBreak/>
        <w:t xml:space="preserve">Uskul, A. K., Kitayama, S., &amp; Nisbett, R. E. (2008). </w:t>
      </w:r>
      <w:r w:rsidRPr="00AE337C">
        <w:rPr>
          <w:rFonts w:asciiTheme="minorHAnsi" w:hAnsiTheme="minorHAnsi" w:cstheme="minorHAnsi"/>
          <w:i/>
          <w:iCs/>
          <w:noProof/>
          <w:sz w:val="22"/>
          <w:szCs w:val="22"/>
          <w:lang w:val="en-US"/>
        </w:rPr>
        <w:t>Ecocultural basis of cognition: farmers and fishermen are more holistic than herders</w:t>
      </w:r>
      <w:r w:rsidRPr="00AE337C">
        <w:rPr>
          <w:rFonts w:asciiTheme="minorHAnsi" w:hAnsiTheme="minorHAnsi" w:cstheme="minorHAnsi"/>
          <w:noProof/>
          <w:sz w:val="22"/>
          <w:szCs w:val="22"/>
          <w:lang w:val="en-US"/>
        </w:rPr>
        <w:t>. USA: Proc. Natl. Acad. Sci.</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Vahide, S. (2008). A Survey of the </w:t>
      </w:r>
      <w:r w:rsidR="004F2E04" w:rsidRPr="00AE337C">
        <w:rPr>
          <w:rFonts w:asciiTheme="minorHAnsi" w:hAnsiTheme="minorHAnsi" w:cstheme="minorHAnsi"/>
          <w:noProof/>
          <w:sz w:val="22"/>
          <w:szCs w:val="22"/>
          <w:lang w:val="en-US"/>
        </w:rPr>
        <w:t xml:space="preserve">Main Spiritual Themes </w:t>
      </w:r>
      <w:r w:rsidRPr="00AE337C">
        <w:rPr>
          <w:rFonts w:asciiTheme="minorHAnsi" w:hAnsiTheme="minorHAnsi" w:cstheme="minorHAnsi"/>
          <w:noProof/>
          <w:sz w:val="22"/>
          <w:szCs w:val="22"/>
          <w:lang w:val="en-US"/>
        </w:rPr>
        <w:t xml:space="preserve">of the Risale-i Nur. In I. M.Sbu-Rabi (Ed.), </w:t>
      </w:r>
      <w:r w:rsidRPr="00AE337C">
        <w:rPr>
          <w:rFonts w:asciiTheme="minorHAnsi" w:hAnsiTheme="minorHAnsi" w:cstheme="minorHAnsi"/>
          <w:i/>
          <w:iCs/>
          <w:noProof/>
          <w:sz w:val="22"/>
          <w:szCs w:val="22"/>
          <w:lang w:val="en-US"/>
        </w:rPr>
        <w:t>Spiritual Dimensions of Bediuzzaman Said Nursi’s Risale-I Nur</w:t>
      </w:r>
      <w:r w:rsidRPr="00AE337C">
        <w:rPr>
          <w:rFonts w:asciiTheme="minorHAnsi" w:hAnsiTheme="minorHAnsi" w:cstheme="minorHAnsi"/>
          <w:noProof/>
          <w:sz w:val="22"/>
          <w:szCs w:val="22"/>
          <w:lang w:val="en-US"/>
        </w:rPr>
        <w:t>. New York: State University of New York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Vahide, Ş. (2012). </w:t>
      </w:r>
      <w:r w:rsidRPr="00AE337C">
        <w:rPr>
          <w:rFonts w:asciiTheme="minorHAnsi" w:hAnsiTheme="minorHAnsi" w:cstheme="minorHAnsi"/>
          <w:i/>
          <w:iCs/>
          <w:noProof/>
          <w:sz w:val="22"/>
          <w:szCs w:val="22"/>
          <w:lang w:val="en-US"/>
        </w:rPr>
        <w:t>Islam in Modern Turkey: An Intellectual Biography of Bediuzzaman Said Nursi</w:t>
      </w:r>
      <w:r w:rsidRPr="00AE337C">
        <w:rPr>
          <w:rFonts w:asciiTheme="minorHAnsi" w:hAnsiTheme="minorHAnsi" w:cstheme="minorHAnsi"/>
          <w:noProof/>
          <w:sz w:val="22"/>
          <w:szCs w:val="22"/>
          <w:lang w:val="en-US"/>
        </w:rPr>
        <w:t>. (I. M. A. Rabi’, Ed.). Suny Press.</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Watson, D., Wiese, D., Vaidya, J., &amp; Tellegen, A. (1999). The two general activation systems of affect: Structural findings, evolutionary considerations, and psychobiological evidence. </w:t>
      </w:r>
      <w:r w:rsidRPr="00AE337C">
        <w:rPr>
          <w:rFonts w:asciiTheme="minorHAnsi" w:hAnsiTheme="minorHAnsi" w:cstheme="minorHAnsi"/>
          <w:i/>
          <w:iCs/>
          <w:noProof/>
          <w:sz w:val="22"/>
          <w:szCs w:val="22"/>
          <w:lang w:val="en-US"/>
        </w:rPr>
        <w:t>Journal of Personality and Social Psychology</w:t>
      </w:r>
      <w:r w:rsidRPr="00AE337C">
        <w:rPr>
          <w:rFonts w:asciiTheme="minorHAnsi" w:hAnsiTheme="minorHAnsi" w:cstheme="minorHAnsi"/>
          <w:noProof/>
          <w:sz w:val="22"/>
          <w:szCs w:val="22"/>
          <w:lang w:val="en-US"/>
        </w:rPr>
        <w:t>, (76), 820–838.</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Watson., D. (1988). Intraindividual and </w:t>
      </w:r>
      <w:r w:rsidR="004F2E04" w:rsidRPr="00AE337C">
        <w:rPr>
          <w:rFonts w:asciiTheme="minorHAnsi" w:hAnsiTheme="minorHAnsi" w:cstheme="minorHAnsi"/>
          <w:noProof/>
          <w:sz w:val="22"/>
          <w:szCs w:val="22"/>
          <w:lang w:val="en-US"/>
        </w:rPr>
        <w:t>Interindividual Analyses of Positive and Negative Affect: the Relation to Health Complains, Perceived Stress and Daily Activitie</w:t>
      </w:r>
      <w:r w:rsidRPr="00AE337C">
        <w:rPr>
          <w:rFonts w:asciiTheme="minorHAnsi" w:hAnsiTheme="minorHAnsi" w:cstheme="minorHAnsi"/>
          <w:noProof/>
          <w:sz w:val="22"/>
          <w:szCs w:val="22"/>
          <w:lang w:val="en-US"/>
        </w:rPr>
        <w:t xml:space="preserve">s. </w:t>
      </w:r>
      <w:r w:rsidRPr="00AE337C">
        <w:rPr>
          <w:rFonts w:asciiTheme="minorHAnsi" w:hAnsiTheme="minorHAnsi" w:cstheme="minorHAnsi"/>
          <w:i/>
          <w:iCs/>
          <w:noProof/>
          <w:sz w:val="22"/>
          <w:szCs w:val="22"/>
          <w:lang w:val="en-US"/>
        </w:rPr>
        <w:t>Journal of Personality and Social Psychology,</w:t>
      </w:r>
      <w:r w:rsidRPr="00AE337C">
        <w:rPr>
          <w:rFonts w:asciiTheme="minorHAnsi" w:hAnsiTheme="minorHAnsi" w:cstheme="minorHAnsi"/>
          <w:noProof/>
          <w:sz w:val="22"/>
          <w:szCs w:val="22"/>
          <w:lang w:val="en-US"/>
        </w:rPr>
        <w:t xml:space="preserve"> (54), 1020–1030.</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Watson.D, Clark, L., Mc Intryro, C. ., &amp; Hamaker, S. (1992). Affect. Personality and </w:t>
      </w:r>
      <w:r w:rsidR="004F2E04" w:rsidRPr="00AE337C">
        <w:rPr>
          <w:rFonts w:asciiTheme="minorHAnsi" w:hAnsiTheme="minorHAnsi" w:cstheme="minorHAnsi"/>
          <w:noProof/>
          <w:sz w:val="22"/>
          <w:szCs w:val="22"/>
          <w:lang w:val="en-US"/>
        </w:rPr>
        <w:t>Social Activity</w:t>
      </w:r>
      <w:r w:rsidRPr="00AE337C">
        <w:rPr>
          <w:rFonts w:asciiTheme="minorHAnsi" w:hAnsiTheme="minorHAnsi" w:cstheme="minorHAnsi"/>
          <w:noProof/>
          <w:sz w:val="22"/>
          <w:szCs w:val="22"/>
          <w:lang w:val="en-US"/>
        </w:rPr>
        <w:t xml:space="preserve">. </w:t>
      </w:r>
      <w:r w:rsidRPr="00AE337C">
        <w:rPr>
          <w:rFonts w:asciiTheme="minorHAnsi" w:hAnsiTheme="minorHAnsi" w:cstheme="minorHAnsi"/>
          <w:i/>
          <w:iCs/>
          <w:noProof/>
          <w:sz w:val="22"/>
          <w:szCs w:val="22"/>
          <w:lang w:val="en-US"/>
        </w:rPr>
        <w:t>Journal of Personality and Social Psychology</w:t>
      </w:r>
      <w:r w:rsidRPr="00AE337C">
        <w:rPr>
          <w:rFonts w:asciiTheme="minorHAnsi" w:hAnsiTheme="minorHAnsi" w:cstheme="minorHAnsi"/>
          <w:noProof/>
          <w:sz w:val="22"/>
          <w:szCs w:val="22"/>
          <w:lang w:val="en-US"/>
        </w:rPr>
        <w:t>, 1011–1025.</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Willhite, R. K. (1990). </w:t>
      </w:r>
      <w:r w:rsidR="004F2E04" w:rsidRPr="00AE337C">
        <w:rPr>
          <w:rFonts w:asciiTheme="minorHAnsi" w:hAnsiTheme="minorHAnsi" w:cstheme="minorHAnsi"/>
          <w:i/>
          <w:iCs/>
          <w:noProof/>
          <w:sz w:val="22"/>
          <w:szCs w:val="22"/>
          <w:lang w:val="en-US"/>
        </w:rPr>
        <w:t>Audience Relevance and Rhetorical Argumentation in Expository Preaching: A Historical-Critical Comparative Analysis of Selected Sermons</w:t>
      </w:r>
      <w:r w:rsidRPr="00AE337C">
        <w:rPr>
          <w:rFonts w:asciiTheme="minorHAnsi" w:hAnsiTheme="minorHAnsi" w:cstheme="minorHAnsi"/>
          <w:i/>
          <w:iCs/>
          <w:noProof/>
          <w:sz w:val="22"/>
          <w:szCs w:val="22"/>
          <w:lang w:val="en-US"/>
        </w:rPr>
        <w:t xml:space="preserve"> of John F. MacArthur, Jr. and Charles R. Swindoll,1970-1990</w:t>
      </w:r>
      <w:r w:rsidRPr="00AE337C">
        <w:rPr>
          <w:rFonts w:asciiTheme="minorHAnsi" w:hAnsiTheme="minorHAnsi" w:cstheme="minorHAnsi"/>
          <w:noProof/>
          <w:sz w:val="22"/>
          <w:szCs w:val="22"/>
          <w:lang w:val="en-US"/>
        </w:rPr>
        <w:t>. Purdue University.</w:t>
      </w:r>
    </w:p>
    <w:p w:rsidR="00D308E2" w:rsidRPr="00AE337C" w:rsidRDefault="00D308E2" w:rsidP="00F931E7">
      <w:pPr>
        <w:pStyle w:val="NormalWeb"/>
        <w:spacing w:before="0" w:beforeAutospacing="0" w:after="120" w:afterAutospacing="0"/>
        <w:ind w:left="567" w:hanging="567"/>
        <w:jc w:val="both"/>
        <w:rPr>
          <w:rFonts w:asciiTheme="minorHAnsi" w:hAnsiTheme="minorHAnsi" w:cstheme="minorHAnsi"/>
          <w:noProof/>
          <w:sz w:val="22"/>
          <w:szCs w:val="22"/>
          <w:lang w:val="en-US"/>
        </w:rPr>
      </w:pPr>
      <w:r w:rsidRPr="00AE337C">
        <w:rPr>
          <w:rFonts w:asciiTheme="minorHAnsi" w:hAnsiTheme="minorHAnsi" w:cstheme="minorHAnsi"/>
          <w:noProof/>
          <w:sz w:val="22"/>
          <w:szCs w:val="22"/>
          <w:lang w:val="en-US"/>
        </w:rPr>
        <w:t xml:space="preserve">Yin, R. K. (2009). </w:t>
      </w:r>
      <w:r w:rsidRPr="00AE337C">
        <w:rPr>
          <w:rFonts w:asciiTheme="minorHAnsi" w:hAnsiTheme="minorHAnsi" w:cstheme="minorHAnsi"/>
          <w:i/>
          <w:iCs/>
          <w:noProof/>
          <w:sz w:val="22"/>
          <w:szCs w:val="22"/>
          <w:lang w:val="en-US"/>
        </w:rPr>
        <w:t>Case Study Research Design and Methods</w:t>
      </w:r>
      <w:r w:rsidRPr="00AE337C">
        <w:rPr>
          <w:rFonts w:asciiTheme="minorHAnsi" w:hAnsiTheme="minorHAnsi" w:cstheme="minorHAnsi"/>
          <w:noProof/>
          <w:sz w:val="22"/>
          <w:szCs w:val="22"/>
          <w:lang w:val="en-US"/>
        </w:rPr>
        <w:t xml:space="preserve"> (3rd ed.). Sage Publications Ltd.</w:t>
      </w:r>
    </w:p>
    <w:p w:rsidR="00D308E2" w:rsidRPr="00AE337C" w:rsidRDefault="00A02014" w:rsidP="00F931E7">
      <w:pPr>
        <w:pStyle w:val="NormalWeb"/>
        <w:spacing w:before="0" w:beforeAutospacing="0" w:after="120" w:afterAutospacing="0"/>
        <w:ind w:left="567" w:hanging="567"/>
        <w:jc w:val="both"/>
        <w:rPr>
          <w:rFonts w:asciiTheme="minorHAnsi" w:hAnsiTheme="minorHAnsi" w:cstheme="minorHAnsi"/>
          <w:sz w:val="22"/>
          <w:szCs w:val="22"/>
          <w:lang w:val="en-US"/>
        </w:rPr>
      </w:pPr>
      <w:r w:rsidRPr="00AE337C">
        <w:rPr>
          <w:rFonts w:asciiTheme="minorHAnsi" w:hAnsiTheme="minorHAnsi" w:cstheme="minorHAnsi"/>
          <w:sz w:val="22"/>
          <w:szCs w:val="22"/>
          <w:lang w:val="en-US"/>
        </w:rPr>
        <w:fldChar w:fldCharType="end"/>
      </w:r>
    </w:p>
    <w:p w:rsidR="002202EF" w:rsidRPr="00AE337C" w:rsidRDefault="002202EF" w:rsidP="00F931E7">
      <w:pPr>
        <w:spacing w:after="120" w:line="240" w:lineRule="auto"/>
        <w:ind w:left="567" w:hanging="567"/>
        <w:jc w:val="both"/>
        <w:rPr>
          <w:rFonts w:cstheme="minorHAnsi"/>
          <w:lang w:val="en-US"/>
        </w:rPr>
      </w:pPr>
    </w:p>
    <w:sectPr w:rsidR="002202EF" w:rsidRPr="00AE337C" w:rsidSect="00BF698C">
      <w:footerReference w:type="default" r:id="rId9"/>
      <w:pgSz w:w="9072" w:h="13325"/>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5CCB" w:rsidRDefault="00D45CCB" w:rsidP="00D308E2">
      <w:pPr>
        <w:spacing w:after="0" w:line="240" w:lineRule="auto"/>
      </w:pPr>
      <w:r>
        <w:separator/>
      </w:r>
    </w:p>
  </w:endnote>
  <w:endnote w:type="continuationSeparator" w:id="0">
    <w:p w:rsidR="00D45CCB" w:rsidRDefault="00D45CCB" w:rsidP="00D30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30B" w:rsidRDefault="00D45CCB" w:rsidP="00A87661">
    <w:pPr>
      <w:pStyle w:val="AltBilgi"/>
      <w:jc w:val="right"/>
    </w:pPr>
  </w:p>
  <w:p w:rsidR="00E6030B" w:rsidRDefault="00D45CC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5CCB" w:rsidRDefault="00D45CCB" w:rsidP="00D308E2">
      <w:pPr>
        <w:spacing w:after="0" w:line="240" w:lineRule="auto"/>
      </w:pPr>
      <w:r>
        <w:separator/>
      </w:r>
    </w:p>
  </w:footnote>
  <w:footnote w:type="continuationSeparator" w:id="0">
    <w:p w:rsidR="00D45CCB" w:rsidRDefault="00D45CCB" w:rsidP="00D308E2">
      <w:pPr>
        <w:spacing w:after="0" w:line="240" w:lineRule="auto"/>
      </w:pPr>
      <w:r>
        <w:continuationSeparator/>
      </w:r>
    </w:p>
  </w:footnote>
  <w:footnote w:id="1">
    <w:p w:rsidR="00AE337C" w:rsidRPr="00F20ADE" w:rsidRDefault="00AE337C" w:rsidP="00AE337C">
      <w:pPr>
        <w:spacing w:after="0" w:line="240" w:lineRule="auto"/>
        <w:rPr>
          <w:rFonts w:ascii="Times New Roman" w:eastAsia="Arial" w:hAnsi="Times New Roman" w:cs="Times New Roman"/>
          <w:bCs/>
          <w:sz w:val="20"/>
          <w:szCs w:val="20"/>
        </w:rPr>
      </w:pPr>
      <w:r>
        <w:rPr>
          <w:rStyle w:val="DipnotBavurusu"/>
          <w:rFonts w:eastAsiaTheme="minorHAnsi"/>
          <w:sz w:val="20"/>
          <w:szCs w:val="20"/>
          <w:lang w:val="en-GB" w:eastAsia="en-US"/>
        </w:rPr>
        <w:t>*</w:t>
      </w:r>
      <w:r w:rsidRPr="00DA5B59">
        <w:rPr>
          <w:rFonts w:ascii="Times New Roman" w:hAnsi="Times New Roman" w:cs="Times New Roman"/>
          <w:sz w:val="20"/>
          <w:szCs w:val="20"/>
        </w:rPr>
        <w:t xml:space="preserve"> </w:t>
      </w:r>
      <w:proofErr w:type="spellStart"/>
      <w:r w:rsidRPr="00DA5B59">
        <w:rPr>
          <w:rFonts w:ascii="Times New Roman" w:hAnsi="Times New Roman" w:cs="Times New Roman"/>
          <w:sz w:val="20"/>
          <w:szCs w:val="20"/>
        </w:rPr>
        <w:t>Ph.D</w:t>
      </w:r>
      <w:proofErr w:type="spellEnd"/>
      <w:r w:rsidRPr="00DA5B59">
        <w:rPr>
          <w:rFonts w:ascii="Times New Roman" w:hAnsi="Times New Roman" w:cs="Times New Roman"/>
          <w:sz w:val="20"/>
          <w:szCs w:val="20"/>
        </w:rPr>
        <w:t xml:space="preserve">., UCSI </w:t>
      </w:r>
      <w:proofErr w:type="spellStart"/>
      <w:r w:rsidRPr="00DA5B59">
        <w:rPr>
          <w:rFonts w:ascii="Times New Roman" w:hAnsi="Times New Roman" w:cs="Times New Roman"/>
          <w:sz w:val="20"/>
          <w:szCs w:val="20"/>
        </w:rPr>
        <w:t>University</w:t>
      </w:r>
      <w:proofErr w:type="spellEnd"/>
      <w:r w:rsidRPr="00DA5B59">
        <w:rPr>
          <w:rFonts w:ascii="Times New Roman" w:hAnsi="Times New Roman" w:cs="Times New Roman"/>
          <w:sz w:val="20"/>
          <w:szCs w:val="20"/>
        </w:rPr>
        <w:t xml:space="preserve">, Kuala Lumpur, </w:t>
      </w:r>
      <w:proofErr w:type="spellStart"/>
      <w:r w:rsidRPr="00DA5B59">
        <w:rPr>
          <w:rFonts w:ascii="Times New Roman" w:hAnsi="Times New Roman" w:cs="Times New Roman"/>
          <w:sz w:val="20"/>
          <w:szCs w:val="20"/>
        </w:rPr>
        <w:t>Malaysia</w:t>
      </w:r>
      <w:proofErr w:type="spellEnd"/>
      <w:r w:rsidR="006A66A7">
        <w:rPr>
          <w:rFonts w:ascii="Times New Roman" w:hAnsi="Times New Roman" w:cs="Times New Roman"/>
          <w:sz w:val="20"/>
          <w:szCs w:val="20"/>
        </w:rPr>
        <w:t xml:space="preserve">, </w:t>
      </w:r>
      <w:bookmarkStart w:id="0" w:name="_GoBack"/>
      <w:bookmarkEnd w:id="0"/>
      <w:r w:rsidR="006A66A7" w:rsidRPr="006A66A7">
        <w:rPr>
          <w:rFonts w:ascii="Times New Roman" w:hAnsi="Times New Roman" w:cs="Times New Roman"/>
          <w:sz w:val="20"/>
          <w:szCs w:val="20"/>
        </w:rPr>
        <w:fldChar w:fldCharType="begin"/>
      </w:r>
      <w:r w:rsidR="006A66A7" w:rsidRPr="006A66A7">
        <w:rPr>
          <w:rFonts w:ascii="Times New Roman" w:hAnsi="Times New Roman" w:cs="Times New Roman"/>
          <w:sz w:val="20"/>
          <w:szCs w:val="20"/>
        </w:rPr>
        <w:instrText xml:space="preserve"> HYPERLINK "mailto:</w:instrText>
      </w:r>
      <w:r w:rsidR="006A66A7" w:rsidRPr="006A66A7">
        <w:rPr>
          <w:rFonts w:ascii="Times New Roman" w:hAnsi="Times New Roman" w:cs="Times New Roman"/>
          <w:sz w:val="20"/>
          <w:szCs w:val="20"/>
        </w:rPr>
        <w:instrText>sakeenahthomas313@gmail.com</w:instrText>
      </w:r>
      <w:r w:rsidR="006A66A7" w:rsidRPr="006A66A7">
        <w:rPr>
          <w:rFonts w:ascii="Times New Roman" w:hAnsi="Times New Roman" w:cs="Times New Roman"/>
          <w:sz w:val="20"/>
          <w:szCs w:val="20"/>
        </w:rPr>
        <w:instrText xml:space="preserve">" </w:instrText>
      </w:r>
      <w:r w:rsidR="006A66A7" w:rsidRPr="006A66A7">
        <w:rPr>
          <w:rFonts w:ascii="Times New Roman" w:hAnsi="Times New Roman" w:cs="Times New Roman"/>
          <w:sz w:val="20"/>
          <w:szCs w:val="20"/>
        </w:rPr>
        <w:fldChar w:fldCharType="separate"/>
      </w:r>
      <w:r w:rsidR="006A66A7" w:rsidRPr="006A66A7">
        <w:rPr>
          <w:rStyle w:val="Kpr"/>
          <w:rFonts w:ascii="Times New Roman" w:hAnsi="Times New Roman" w:cs="Times New Roman"/>
          <w:color w:val="auto"/>
          <w:sz w:val="20"/>
          <w:szCs w:val="20"/>
          <w:u w:val="none"/>
        </w:rPr>
        <w:t>sakeenahthomas313@gmail.com</w:t>
      </w:r>
      <w:r w:rsidR="006A66A7" w:rsidRPr="006A66A7">
        <w:rPr>
          <w:rFonts w:ascii="Times New Roman" w:hAnsi="Times New Roman" w:cs="Times New Roman"/>
          <w:sz w:val="20"/>
          <w:szCs w:val="20"/>
        </w:rPr>
        <w:fldChar w:fldCharType="end"/>
      </w:r>
      <w:r w:rsidRPr="006A66A7">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br/>
      </w:r>
    </w:p>
    <w:p w:rsidR="00AE337C" w:rsidRPr="00DA5B59" w:rsidRDefault="00AE337C" w:rsidP="00DA5B59">
      <w:pPr>
        <w:pStyle w:val="DipnotMetni"/>
        <w:jc w:val="both"/>
        <w:rPr>
          <w:rFonts w:ascii="Times New Roman" w:hAnsi="Times New Roman" w:cs="Times New Roman"/>
          <w:lang w:val="tr-T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5AF4"/>
    <w:multiLevelType w:val="hybridMultilevel"/>
    <w:tmpl w:val="FB441A76"/>
    <w:lvl w:ilvl="0" w:tplc="9962A94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9358D"/>
    <w:multiLevelType w:val="hybridMultilevel"/>
    <w:tmpl w:val="F112F212"/>
    <w:lvl w:ilvl="0" w:tplc="957C250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5123A8"/>
    <w:multiLevelType w:val="hybridMultilevel"/>
    <w:tmpl w:val="76B0A362"/>
    <w:lvl w:ilvl="0" w:tplc="16981C9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08E2"/>
    <w:rsid w:val="00136DD3"/>
    <w:rsid w:val="0014181B"/>
    <w:rsid w:val="002202EF"/>
    <w:rsid w:val="004F2E04"/>
    <w:rsid w:val="00623CC9"/>
    <w:rsid w:val="00694DF0"/>
    <w:rsid w:val="006A66A7"/>
    <w:rsid w:val="007800E1"/>
    <w:rsid w:val="007C4A70"/>
    <w:rsid w:val="00805C92"/>
    <w:rsid w:val="008237DB"/>
    <w:rsid w:val="00944AC2"/>
    <w:rsid w:val="00A02014"/>
    <w:rsid w:val="00AC1674"/>
    <w:rsid w:val="00AE337C"/>
    <w:rsid w:val="00B65B25"/>
    <w:rsid w:val="00BF698C"/>
    <w:rsid w:val="00D308E2"/>
    <w:rsid w:val="00D45CCB"/>
    <w:rsid w:val="00DA5B59"/>
    <w:rsid w:val="00DC2710"/>
    <w:rsid w:val="00DF0D35"/>
    <w:rsid w:val="00EC44B2"/>
    <w:rsid w:val="00F20ADE"/>
    <w:rsid w:val="00F6249B"/>
    <w:rsid w:val="00F931E7"/>
    <w:rsid w:val="00FB617C"/>
    <w:rsid w:val="00FF65D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D2720"/>
  <w15:docId w15:val="{4AB96472-C54B-455F-92D0-B99B19E8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2014"/>
  </w:style>
  <w:style w:type="paragraph" w:styleId="Balk1">
    <w:name w:val="heading 1"/>
    <w:aliases w:val="MZJaafar (SHIFT+ENTER)"/>
    <w:basedOn w:val="Normal"/>
    <w:next w:val="Normal"/>
    <w:link w:val="Balk1Char"/>
    <w:uiPriority w:val="9"/>
    <w:qFormat/>
    <w:rsid w:val="00D308E2"/>
    <w:pPr>
      <w:spacing w:before="480" w:after="0"/>
      <w:contextualSpacing/>
      <w:outlineLvl w:val="0"/>
    </w:pPr>
    <w:rPr>
      <w:rFonts w:asciiTheme="majorHAnsi" w:eastAsiaTheme="majorEastAsia" w:hAnsiTheme="majorHAnsi" w:cstheme="majorBidi"/>
      <w:b/>
      <w:bCs/>
      <w:sz w:val="28"/>
      <w:szCs w:val="28"/>
      <w:lang w:val="en-GB" w:eastAsia="en-US"/>
    </w:rPr>
  </w:style>
  <w:style w:type="paragraph" w:styleId="Balk2">
    <w:name w:val="heading 2"/>
    <w:basedOn w:val="Normal"/>
    <w:next w:val="Normal"/>
    <w:link w:val="Balk2Char"/>
    <w:uiPriority w:val="9"/>
    <w:unhideWhenUsed/>
    <w:qFormat/>
    <w:rsid w:val="00D308E2"/>
    <w:pPr>
      <w:spacing w:before="200" w:after="0"/>
      <w:outlineLvl w:val="1"/>
    </w:pPr>
    <w:rPr>
      <w:rFonts w:asciiTheme="majorHAnsi" w:eastAsiaTheme="majorEastAsia" w:hAnsiTheme="majorHAnsi" w:cstheme="majorBidi"/>
      <w:b/>
      <w:bCs/>
      <w:sz w:val="26"/>
      <w:szCs w:val="26"/>
      <w:lang w:val="en-GB" w:eastAsia="en-US"/>
    </w:rPr>
  </w:style>
  <w:style w:type="paragraph" w:styleId="Balk3">
    <w:name w:val="heading 3"/>
    <w:basedOn w:val="Normal"/>
    <w:next w:val="Normal"/>
    <w:link w:val="Balk3Char"/>
    <w:uiPriority w:val="9"/>
    <w:unhideWhenUsed/>
    <w:qFormat/>
    <w:rsid w:val="00D308E2"/>
    <w:pPr>
      <w:spacing w:before="200" w:after="0" w:line="271" w:lineRule="auto"/>
      <w:outlineLvl w:val="2"/>
    </w:pPr>
    <w:rPr>
      <w:rFonts w:asciiTheme="majorHAnsi" w:eastAsiaTheme="majorEastAsia" w:hAnsiTheme="majorHAnsi" w:cstheme="majorBidi"/>
      <w:b/>
      <w:bCs/>
      <w:lang w:val="en-GB" w:eastAsia="en-US"/>
    </w:rPr>
  </w:style>
  <w:style w:type="paragraph" w:styleId="Balk4">
    <w:name w:val="heading 4"/>
    <w:basedOn w:val="Normal"/>
    <w:next w:val="Normal"/>
    <w:link w:val="Balk4Char"/>
    <w:uiPriority w:val="9"/>
    <w:unhideWhenUsed/>
    <w:qFormat/>
    <w:rsid w:val="00D308E2"/>
    <w:pPr>
      <w:spacing w:before="200" w:after="0"/>
      <w:outlineLvl w:val="3"/>
    </w:pPr>
    <w:rPr>
      <w:rFonts w:asciiTheme="majorHAnsi" w:eastAsiaTheme="majorEastAsia" w:hAnsiTheme="majorHAnsi" w:cstheme="majorBidi"/>
      <w:b/>
      <w:bCs/>
      <w:i/>
      <w:iCs/>
      <w:lang w:val="en-GB" w:eastAsia="en-US"/>
    </w:rPr>
  </w:style>
  <w:style w:type="paragraph" w:styleId="Balk5">
    <w:name w:val="heading 5"/>
    <w:basedOn w:val="Normal"/>
    <w:next w:val="Normal"/>
    <w:link w:val="Balk5Char"/>
    <w:uiPriority w:val="9"/>
    <w:semiHidden/>
    <w:unhideWhenUsed/>
    <w:qFormat/>
    <w:rsid w:val="00D308E2"/>
    <w:pPr>
      <w:spacing w:before="200" w:after="0"/>
      <w:outlineLvl w:val="4"/>
    </w:pPr>
    <w:rPr>
      <w:rFonts w:asciiTheme="majorHAnsi" w:eastAsiaTheme="majorEastAsia" w:hAnsiTheme="majorHAnsi" w:cstheme="majorBidi"/>
      <w:b/>
      <w:bCs/>
      <w:color w:val="7F7F7F" w:themeColor="text1" w:themeTint="80"/>
      <w:lang w:val="en-GB" w:eastAsia="en-US"/>
    </w:rPr>
  </w:style>
  <w:style w:type="paragraph" w:styleId="Balk6">
    <w:name w:val="heading 6"/>
    <w:basedOn w:val="Normal"/>
    <w:next w:val="Normal"/>
    <w:link w:val="Balk6Char"/>
    <w:uiPriority w:val="9"/>
    <w:semiHidden/>
    <w:unhideWhenUsed/>
    <w:qFormat/>
    <w:rsid w:val="00D308E2"/>
    <w:pPr>
      <w:spacing w:after="0" w:line="271" w:lineRule="auto"/>
      <w:outlineLvl w:val="5"/>
    </w:pPr>
    <w:rPr>
      <w:rFonts w:asciiTheme="majorHAnsi" w:eastAsiaTheme="majorEastAsia" w:hAnsiTheme="majorHAnsi" w:cstheme="majorBidi"/>
      <w:b/>
      <w:bCs/>
      <w:i/>
      <w:iCs/>
      <w:color w:val="7F7F7F" w:themeColor="text1" w:themeTint="80"/>
      <w:lang w:val="en-GB" w:eastAsia="en-US"/>
    </w:rPr>
  </w:style>
  <w:style w:type="paragraph" w:styleId="Balk7">
    <w:name w:val="heading 7"/>
    <w:basedOn w:val="Normal"/>
    <w:next w:val="Normal"/>
    <w:link w:val="Balk7Char"/>
    <w:uiPriority w:val="9"/>
    <w:semiHidden/>
    <w:unhideWhenUsed/>
    <w:qFormat/>
    <w:rsid w:val="00D308E2"/>
    <w:pPr>
      <w:spacing w:after="0"/>
      <w:outlineLvl w:val="6"/>
    </w:pPr>
    <w:rPr>
      <w:rFonts w:asciiTheme="majorHAnsi" w:eastAsiaTheme="majorEastAsia" w:hAnsiTheme="majorHAnsi" w:cstheme="majorBidi"/>
      <w:i/>
      <w:iCs/>
      <w:lang w:val="en-GB" w:eastAsia="en-US"/>
    </w:rPr>
  </w:style>
  <w:style w:type="paragraph" w:styleId="Balk8">
    <w:name w:val="heading 8"/>
    <w:basedOn w:val="Normal"/>
    <w:next w:val="Normal"/>
    <w:link w:val="Balk8Char"/>
    <w:uiPriority w:val="9"/>
    <w:semiHidden/>
    <w:unhideWhenUsed/>
    <w:qFormat/>
    <w:rsid w:val="00D308E2"/>
    <w:pPr>
      <w:spacing w:after="0"/>
      <w:outlineLvl w:val="7"/>
    </w:pPr>
    <w:rPr>
      <w:rFonts w:asciiTheme="majorHAnsi" w:eastAsiaTheme="majorEastAsia" w:hAnsiTheme="majorHAnsi" w:cstheme="majorBidi"/>
      <w:sz w:val="20"/>
      <w:szCs w:val="20"/>
      <w:lang w:val="en-GB" w:eastAsia="en-US"/>
    </w:rPr>
  </w:style>
  <w:style w:type="paragraph" w:styleId="Balk9">
    <w:name w:val="heading 9"/>
    <w:basedOn w:val="Normal"/>
    <w:next w:val="Normal"/>
    <w:link w:val="Balk9Char"/>
    <w:uiPriority w:val="9"/>
    <w:semiHidden/>
    <w:unhideWhenUsed/>
    <w:qFormat/>
    <w:rsid w:val="00D308E2"/>
    <w:pPr>
      <w:spacing w:after="0"/>
      <w:outlineLvl w:val="8"/>
    </w:pPr>
    <w:rPr>
      <w:rFonts w:asciiTheme="majorHAnsi" w:eastAsiaTheme="majorEastAsia" w:hAnsiTheme="majorHAnsi" w:cstheme="majorBidi"/>
      <w:i/>
      <w:iCs/>
      <w:spacing w:val="5"/>
      <w:sz w:val="20"/>
      <w:szCs w:val="20"/>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MZJaafar (SHIFT+ENTER) Char"/>
    <w:basedOn w:val="VarsaylanParagrafYazTipi"/>
    <w:link w:val="Balk1"/>
    <w:uiPriority w:val="9"/>
    <w:rsid w:val="00D308E2"/>
    <w:rPr>
      <w:rFonts w:asciiTheme="majorHAnsi" w:eastAsiaTheme="majorEastAsia" w:hAnsiTheme="majorHAnsi" w:cstheme="majorBidi"/>
      <w:b/>
      <w:bCs/>
      <w:sz w:val="28"/>
      <w:szCs w:val="28"/>
      <w:lang w:val="en-GB" w:eastAsia="en-US"/>
    </w:rPr>
  </w:style>
  <w:style w:type="character" w:customStyle="1" w:styleId="Balk2Char">
    <w:name w:val="Başlık 2 Char"/>
    <w:basedOn w:val="VarsaylanParagrafYazTipi"/>
    <w:link w:val="Balk2"/>
    <w:uiPriority w:val="9"/>
    <w:rsid w:val="00D308E2"/>
    <w:rPr>
      <w:rFonts w:asciiTheme="majorHAnsi" w:eastAsiaTheme="majorEastAsia" w:hAnsiTheme="majorHAnsi" w:cstheme="majorBidi"/>
      <w:b/>
      <w:bCs/>
      <w:sz w:val="26"/>
      <w:szCs w:val="26"/>
      <w:lang w:val="en-GB" w:eastAsia="en-US"/>
    </w:rPr>
  </w:style>
  <w:style w:type="character" w:customStyle="1" w:styleId="Balk3Char">
    <w:name w:val="Başlık 3 Char"/>
    <w:basedOn w:val="VarsaylanParagrafYazTipi"/>
    <w:link w:val="Balk3"/>
    <w:uiPriority w:val="9"/>
    <w:rsid w:val="00D308E2"/>
    <w:rPr>
      <w:rFonts w:asciiTheme="majorHAnsi" w:eastAsiaTheme="majorEastAsia" w:hAnsiTheme="majorHAnsi" w:cstheme="majorBidi"/>
      <w:b/>
      <w:bCs/>
      <w:lang w:val="en-GB" w:eastAsia="en-US"/>
    </w:rPr>
  </w:style>
  <w:style w:type="character" w:customStyle="1" w:styleId="Balk4Char">
    <w:name w:val="Başlık 4 Char"/>
    <w:basedOn w:val="VarsaylanParagrafYazTipi"/>
    <w:link w:val="Balk4"/>
    <w:uiPriority w:val="9"/>
    <w:rsid w:val="00D308E2"/>
    <w:rPr>
      <w:rFonts w:asciiTheme="majorHAnsi" w:eastAsiaTheme="majorEastAsia" w:hAnsiTheme="majorHAnsi" w:cstheme="majorBidi"/>
      <w:b/>
      <w:bCs/>
      <w:i/>
      <w:iCs/>
      <w:lang w:val="en-GB" w:eastAsia="en-US"/>
    </w:rPr>
  </w:style>
  <w:style w:type="character" w:customStyle="1" w:styleId="Balk5Char">
    <w:name w:val="Başlık 5 Char"/>
    <w:basedOn w:val="VarsaylanParagrafYazTipi"/>
    <w:link w:val="Balk5"/>
    <w:uiPriority w:val="9"/>
    <w:semiHidden/>
    <w:rsid w:val="00D308E2"/>
    <w:rPr>
      <w:rFonts w:asciiTheme="majorHAnsi" w:eastAsiaTheme="majorEastAsia" w:hAnsiTheme="majorHAnsi" w:cstheme="majorBidi"/>
      <w:b/>
      <w:bCs/>
      <w:color w:val="7F7F7F" w:themeColor="text1" w:themeTint="80"/>
      <w:lang w:val="en-GB" w:eastAsia="en-US"/>
    </w:rPr>
  </w:style>
  <w:style w:type="character" w:customStyle="1" w:styleId="Balk6Char">
    <w:name w:val="Başlık 6 Char"/>
    <w:basedOn w:val="VarsaylanParagrafYazTipi"/>
    <w:link w:val="Balk6"/>
    <w:uiPriority w:val="9"/>
    <w:semiHidden/>
    <w:rsid w:val="00D308E2"/>
    <w:rPr>
      <w:rFonts w:asciiTheme="majorHAnsi" w:eastAsiaTheme="majorEastAsia" w:hAnsiTheme="majorHAnsi" w:cstheme="majorBidi"/>
      <w:b/>
      <w:bCs/>
      <w:i/>
      <w:iCs/>
      <w:color w:val="7F7F7F" w:themeColor="text1" w:themeTint="80"/>
      <w:lang w:val="en-GB" w:eastAsia="en-US"/>
    </w:rPr>
  </w:style>
  <w:style w:type="character" w:customStyle="1" w:styleId="Balk7Char">
    <w:name w:val="Başlık 7 Char"/>
    <w:basedOn w:val="VarsaylanParagrafYazTipi"/>
    <w:link w:val="Balk7"/>
    <w:uiPriority w:val="9"/>
    <w:semiHidden/>
    <w:rsid w:val="00D308E2"/>
    <w:rPr>
      <w:rFonts w:asciiTheme="majorHAnsi" w:eastAsiaTheme="majorEastAsia" w:hAnsiTheme="majorHAnsi" w:cstheme="majorBidi"/>
      <w:i/>
      <w:iCs/>
      <w:lang w:val="en-GB" w:eastAsia="en-US"/>
    </w:rPr>
  </w:style>
  <w:style w:type="character" w:customStyle="1" w:styleId="Balk8Char">
    <w:name w:val="Başlık 8 Char"/>
    <w:basedOn w:val="VarsaylanParagrafYazTipi"/>
    <w:link w:val="Balk8"/>
    <w:uiPriority w:val="9"/>
    <w:semiHidden/>
    <w:rsid w:val="00D308E2"/>
    <w:rPr>
      <w:rFonts w:asciiTheme="majorHAnsi" w:eastAsiaTheme="majorEastAsia" w:hAnsiTheme="majorHAnsi" w:cstheme="majorBidi"/>
      <w:sz w:val="20"/>
      <w:szCs w:val="20"/>
      <w:lang w:val="en-GB" w:eastAsia="en-US"/>
    </w:rPr>
  </w:style>
  <w:style w:type="character" w:customStyle="1" w:styleId="Balk9Char">
    <w:name w:val="Başlık 9 Char"/>
    <w:basedOn w:val="VarsaylanParagrafYazTipi"/>
    <w:link w:val="Balk9"/>
    <w:uiPriority w:val="9"/>
    <w:semiHidden/>
    <w:rsid w:val="00D308E2"/>
    <w:rPr>
      <w:rFonts w:asciiTheme="majorHAnsi" w:eastAsiaTheme="majorEastAsia" w:hAnsiTheme="majorHAnsi" w:cstheme="majorBidi"/>
      <w:i/>
      <w:iCs/>
      <w:spacing w:val="5"/>
      <w:sz w:val="20"/>
      <w:szCs w:val="20"/>
      <w:lang w:val="en-GB" w:eastAsia="en-US"/>
    </w:rPr>
  </w:style>
  <w:style w:type="paragraph" w:styleId="KonuBal">
    <w:name w:val="Title"/>
    <w:basedOn w:val="Normal"/>
    <w:next w:val="Normal"/>
    <w:link w:val="KonuBalChar"/>
    <w:uiPriority w:val="10"/>
    <w:qFormat/>
    <w:rsid w:val="00D308E2"/>
    <w:pPr>
      <w:pBdr>
        <w:bottom w:val="single" w:sz="4" w:space="1" w:color="auto"/>
      </w:pBdr>
      <w:spacing w:line="240" w:lineRule="auto"/>
      <w:contextualSpacing/>
    </w:pPr>
    <w:rPr>
      <w:rFonts w:asciiTheme="majorHAnsi" w:eastAsiaTheme="majorEastAsia" w:hAnsiTheme="majorHAnsi" w:cstheme="majorBidi"/>
      <w:spacing w:val="5"/>
      <w:sz w:val="52"/>
      <w:szCs w:val="52"/>
      <w:lang w:val="en-GB" w:eastAsia="en-US"/>
    </w:rPr>
  </w:style>
  <w:style w:type="character" w:customStyle="1" w:styleId="KonuBalChar">
    <w:name w:val="Konu Başlığı Char"/>
    <w:basedOn w:val="VarsaylanParagrafYazTipi"/>
    <w:link w:val="KonuBal"/>
    <w:uiPriority w:val="10"/>
    <w:rsid w:val="00D308E2"/>
    <w:rPr>
      <w:rFonts w:asciiTheme="majorHAnsi" w:eastAsiaTheme="majorEastAsia" w:hAnsiTheme="majorHAnsi" w:cstheme="majorBidi"/>
      <w:spacing w:val="5"/>
      <w:sz w:val="52"/>
      <w:szCs w:val="52"/>
      <w:lang w:val="en-GB" w:eastAsia="en-US"/>
    </w:rPr>
  </w:style>
  <w:style w:type="paragraph" w:styleId="Altyaz">
    <w:name w:val="Subtitle"/>
    <w:basedOn w:val="Normal"/>
    <w:next w:val="Normal"/>
    <w:link w:val="AltyazChar"/>
    <w:uiPriority w:val="11"/>
    <w:qFormat/>
    <w:rsid w:val="00D308E2"/>
    <w:pPr>
      <w:spacing w:after="600"/>
    </w:pPr>
    <w:rPr>
      <w:rFonts w:asciiTheme="majorHAnsi" w:eastAsiaTheme="majorEastAsia" w:hAnsiTheme="majorHAnsi" w:cstheme="majorBidi"/>
      <w:i/>
      <w:iCs/>
      <w:spacing w:val="13"/>
      <w:sz w:val="24"/>
      <w:szCs w:val="24"/>
      <w:lang w:val="en-GB" w:eastAsia="en-US"/>
    </w:rPr>
  </w:style>
  <w:style w:type="character" w:customStyle="1" w:styleId="AltyazChar">
    <w:name w:val="Altyazı Char"/>
    <w:basedOn w:val="VarsaylanParagrafYazTipi"/>
    <w:link w:val="Altyaz"/>
    <w:uiPriority w:val="11"/>
    <w:rsid w:val="00D308E2"/>
    <w:rPr>
      <w:rFonts w:asciiTheme="majorHAnsi" w:eastAsiaTheme="majorEastAsia" w:hAnsiTheme="majorHAnsi" w:cstheme="majorBidi"/>
      <w:i/>
      <w:iCs/>
      <w:spacing w:val="13"/>
      <w:sz w:val="24"/>
      <w:szCs w:val="24"/>
      <w:lang w:val="en-GB" w:eastAsia="en-US"/>
    </w:rPr>
  </w:style>
  <w:style w:type="character" w:styleId="Gl">
    <w:name w:val="Strong"/>
    <w:uiPriority w:val="22"/>
    <w:qFormat/>
    <w:rsid w:val="00D308E2"/>
    <w:rPr>
      <w:b/>
      <w:bCs/>
    </w:rPr>
  </w:style>
  <w:style w:type="character" w:styleId="Vurgu">
    <w:name w:val="Emphasis"/>
    <w:uiPriority w:val="20"/>
    <w:qFormat/>
    <w:rsid w:val="00D308E2"/>
    <w:rPr>
      <w:b/>
      <w:bCs/>
      <w:i/>
      <w:iCs/>
      <w:spacing w:val="10"/>
      <w:bdr w:val="none" w:sz="0" w:space="0" w:color="auto"/>
      <w:shd w:val="clear" w:color="auto" w:fill="auto"/>
    </w:rPr>
  </w:style>
  <w:style w:type="paragraph" w:styleId="AralkYok">
    <w:name w:val="No Spacing"/>
    <w:basedOn w:val="Normal"/>
    <w:uiPriority w:val="1"/>
    <w:qFormat/>
    <w:rsid w:val="00D308E2"/>
    <w:pPr>
      <w:spacing w:after="0" w:line="240" w:lineRule="auto"/>
    </w:pPr>
    <w:rPr>
      <w:rFonts w:eastAsiaTheme="minorHAnsi"/>
      <w:lang w:val="en-GB" w:eastAsia="en-US"/>
    </w:rPr>
  </w:style>
  <w:style w:type="paragraph" w:styleId="ListeParagraf">
    <w:name w:val="List Paragraph"/>
    <w:basedOn w:val="Normal"/>
    <w:uiPriority w:val="34"/>
    <w:qFormat/>
    <w:rsid w:val="00D308E2"/>
    <w:pPr>
      <w:ind w:left="720"/>
      <w:contextualSpacing/>
    </w:pPr>
    <w:rPr>
      <w:rFonts w:eastAsiaTheme="minorHAnsi"/>
      <w:lang w:val="en-GB" w:eastAsia="en-US"/>
    </w:rPr>
  </w:style>
  <w:style w:type="paragraph" w:styleId="Alnt">
    <w:name w:val="Quote"/>
    <w:basedOn w:val="Normal"/>
    <w:next w:val="Normal"/>
    <w:link w:val="AlntChar"/>
    <w:uiPriority w:val="29"/>
    <w:qFormat/>
    <w:rsid w:val="00D308E2"/>
    <w:pPr>
      <w:spacing w:before="200" w:after="0"/>
      <w:ind w:left="360" w:right="360"/>
    </w:pPr>
    <w:rPr>
      <w:rFonts w:eastAsiaTheme="minorHAnsi"/>
      <w:i/>
      <w:iCs/>
      <w:lang w:val="en-GB" w:eastAsia="en-US"/>
    </w:rPr>
  </w:style>
  <w:style w:type="character" w:customStyle="1" w:styleId="AlntChar">
    <w:name w:val="Alıntı Char"/>
    <w:basedOn w:val="VarsaylanParagrafYazTipi"/>
    <w:link w:val="Alnt"/>
    <w:uiPriority w:val="29"/>
    <w:rsid w:val="00D308E2"/>
    <w:rPr>
      <w:rFonts w:eastAsiaTheme="minorHAnsi"/>
      <w:i/>
      <w:iCs/>
      <w:lang w:val="en-GB" w:eastAsia="en-US"/>
    </w:rPr>
  </w:style>
  <w:style w:type="paragraph" w:styleId="GlAlnt">
    <w:name w:val="Intense Quote"/>
    <w:basedOn w:val="Normal"/>
    <w:next w:val="Normal"/>
    <w:link w:val="GlAlntChar"/>
    <w:uiPriority w:val="30"/>
    <w:qFormat/>
    <w:rsid w:val="00D308E2"/>
    <w:pPr>
      <w:pBdr>
        <w:bottom w:val="single" w:sz="4" w:space="1" w:color="auto"/>
      </w:pBdr>
      <w:spacing w:before="200" w:after="280"/>
      <w:ind w:left="1008" w:right="1152"/>
      <w:jc w:val="both"/>
    </w:pPr>
    <w:rPr>
      <w:rFonts w:eastAsiaTheme="minorHAnsi"/>
      <w:b/>
      <w:bCs/>
      <w:i/>
      <w:iCs/>
      <w:lang w:val="en-GB" w:eastAsia="en-US"/>
    </w:rPr>
  </w:style>
  <w:style w:type="character" w:customStyle="1" w:styleId="GlAlntChar">
    <w:name w:val="Güçlü Alıntı Char"/>
    <w:basedOn w:val="VarsaylanParagrafYazTipi"/>
    <w:link w:val="GlAlnt"/>
    <w:uiPriority w:val="30"/>
    <w:rsid w:val="00D308E2"/>
    <w:rPr>
      <w:rFonts w:eastAsiaTheme="minorHAnsi"/>
      <w:b/>
      <w:bCs/>
      <w:i/>
      <w:iCs/>
      <w:lang w:val="en-GB" w:eastAsia="en-US"/>
    </w:rPr>
  </w:style>
  <w:style w:type="character" w:styleId="HafifVurgulama">
    <w:name w:val="Subtle Emphasis"/>
    <w:uiPriority w:val="19"/>
    <w:qFormat/>
    <w:rsid w:val="00D308E2"/>
    <w:rPr>
      <w:i/>
      <w:iCs/>
    </w:rPr>
  </w:style>
  <w:style w:type="character" w:styleId="GlVurgulama">
    <w:name w:val="Intense Emphasis"/>
    <w:uiPriority w:val="21"/>
    <w:qFormat/>
    <w:rsid w:val="00D308E2"/>
    <w:rPr>
      <w:b/>
      <w:bCs/>
    </w:rPr>
  </w:style>
  <w:style w:type="character" w:styleId="HafifBavuru">
    <w:name w:val="Subtle Reference"/>
    <w:uiPriority w:val="31"/>
    <w:qFormat/>
    <w:rsid w:val="00D308E2"/>
    <w:rPr>
      <w:smallCaps/>
    </w:rPr>
  </w:style>
  <w:style w:type="character" w:styleId="GlBavuru">
    <w:name w:val="Intense Reference"/>
    <w:uiPriority w:val="32"/>
    <w:qFormat/>
    <w:rsid w:val="00D308E2"/>
    <w:rPr>
      <w:smallCaps/>
      <w:spacing w:val="5"/>
      <w:u w:val="single"/>
    </w:rPr>
  </w:style>
  <w:style w:type="character" w:styleId="KitapBal">
    <w:name w:val="Book Title"/>
    <w:uiPriority w:val="33"/>
    <w:qFormat/>
    <w:rsid w:val="00D308E2"/>
    <w:rPr>
      <w:i/>
      <w:iCs/>
      <w:smallCaps/>
      <w:spacing w:val="5"/>
    </w:rPr>
  </w:style>
  <w:style w:type="paragraph" w:styleId="TBal">
    <w:name w:val="TOC Heading"/>
    <w:basedOn w:val="Balk1"/>
    <w:next w:val="Normal"/>
    <w:uiPriority w:val="39"/>
    <w:semiHidden/>
    <w:unhideWhenUsed/>
    <w:qFormat/>
    <w:rsid w:val="00D308E2"/>
    <w:pPr>
      <w:outlineLvl w:val="9"/>
    </w:pPr>
    <w:rPr>
      <w:lang w:bidi="en-US"/>
    </w:rPr>
  </w:style>
  <w:style w:type="table" w:styleId="TabloKlavuzu">
    <w:name w:val="Table Grid"/>
    <w:basedOn w:val="NormalTablo"/>
    <w:uiPriority w:val="59"/>
    <w:rsid w:val="00D308E2"/>
    <w:pPr>
      <w:spacing w:after="0" w:line="240" w:lineRule="auto"/>
      <w:jc w:val="both"/>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autoRedefine/>
    <w:uiPriority w:val="35"/>
    <w:unhideWhenUsed/>
    <w:qFormat/>
    <w:rsid w:val="00D308E2"/>
    <w:pPr>
      <w:tabs>
        <w:tab w:val="left" w:pos="2220"/>
        <w:tab w:val="center" w:pos="4513"/>
      </w:tabs>
      <w:spacing w:line="240" w:lineRule="auto"/>
      <w:jc w:val="center"/>
    </w:pPr>
    <w:rPr>
      <w:rFonts w:ascii="Times New Roman" w:hAnsi="Times New Roman"/>
      <w:bCs/>
      <w:sz w:val="18"/>
      <w:szCs w:val="18"/>
      <w:lang w:val="en-US" w:eastAsia="en-US"/>
    </w:rPr>
  </w:style>
  <w:style w:type="paragraph" w:styleId="stBilgi">
    <w:name w:val="header"/>
    <w:basedOn w:val="Normal"/>
    <w:link w:val="stBilgiChar"/>
    <w:uiPriority w:val="99"/>
    <w:unhideWhenUsed/>
    <w:rsid w:val="00D308E2"/>
    <w:pPr>
      <w:tabs>
        <w:tab w:val="center" w:pos="4513"/>
        <w:tab w:val="right" w:pos="9026"/>
      </w:tabs>
      <w:spacing w:after="0" w:line="240" w:lineRule="auto"/>
    </w:pPr>
    <w:rPr>
      <w:rFonts w:eastAsiaTheme="minorHAnsi"/>
      <w:lang w:val="en-GB" w:eastAsia="en-US"/>
    </w:rPr>
  </w:style>
  <w:style w:type="character" w:customStyle="1" w:styleId="stBilgiChar">
    <w:name w:val="Üst Bilgi Char"/>
    <w:basedOn w:val="VarsaylanParagrafYazTipi"/>
    <w:link w:val="stBilgi"/>
    <w:uiPriority w:val="99"/>
    <w:rsid w:val="00D308E2"/>
    <w:rPr>
      <w:rFonts w:eastAsiaTheme="minorHAnsi"/>
      <w:lang w:val="en-GB" w:eastAsia="en-US"/>
    </w:rPr>
  </w:style>
  <w:style w:type="paragraph" w:styleId="AltBilgi">
    <w:name w:val="footer"/>
    <w:basedOn w:val="Normal"/>
    <w:link w:val="AltBilgiChar"/>
    <w:uiPriority w:val="99"/>
    <w:unhideWhenUsed/>
    <w:rsid w:val="00D308E2"/>
    <w:pPr>
      <w:tabs>
        <w:tab w:val="center" w:pos="4513"/>
        <w:tab w:val="right" w:pos="9026"/>
      </w:tabs>
      <w:spacing w:after="0" w:line="240" w:lineRule="auto"/>
    </w:pPr>
    <w:rPr>
      <w:rFonts w:eastAsiaTheme="minorHAnsi"/>
      <w:lang w:val="en-GB" w:eastAsia="en-US"/>
    </w:rPr>
  </w:style>
  <w:style w:type="character" w:customStyle="1" w:styleId="AltBilgiChar">
    <w:name w:val="Alt Bilgi Char"/>
    <w:basedOn w:val="VarsaylanParagrafYazTipi"/>
    <w:link w:val="AltBilgi"/>
    <w:uiPriority w:val="99"/>
    <w:rsid w:val="00D308E2"/>
    <w:rPr>
      <w:rFonts w:eastAsiaTheme="minorHAnsi"/>
      <w:lang w:val="en-GB" w:eastAsia="en-US"/>
    </w:rPr>
  </w:style>
  <w:style w:type="paragraph" w:styleId="NormalWeb">
    <w:name w:val="Normal (Web)"/>
    <w:basedOn w:val="Normal"/>
    <w:uiPriority w:val="99"/>
    <w:unhideWhenUsed/>
    <w:rsid w:val="00D308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t">
    <w:name w:val="st"/>
    <w:basedOn w:val="VarsaylanParagrafYazTipi"/>
    <w:rsid w:val="00D308E2"/>
  </w:style>
  <w:style w:type="paragraph" w:styleId="BalonMetni">
    <w:name w:val="Balloon Text"/>
    <w:basedOn w:val="Normal"/>
    <w:link w:val="BalonMetniChar"/>
    <w:uiPriority w:val="99"/>
    <w:semiHidden/>
    <w:unhideWhenUsed/>
    <w:rsid w:val="00D308E2"/>
    <w:pPr>
      <w:spacing w:after="0" w:line="240" w:lineRule="auto"/>
    </w:pPr>
    <w:rPr>
      <w:rFonts w:ascii="Tahoma" w:eastAsiaTheme="minorHAnsi" w:hAnsi="Tahoma" w:cs="Tahoma"/>
      <w:sz w:val="16"/>
      <w:szCs w:val="16"/>
      <w:lang w:val="en-GB" w:eastAsia="en-US"/>
    </w:rPr>
  </w:style>
  <w:style w:type="character" w:customStyle="1" w:styleId="BalonMetniChar">
    <w:name w:val="Balon Metni Char"/>
    <w:basedOn w:val="VarsaylanParagrafYazTipi"/>
    <w:link w:val="BalonMetni"/>
    <w:uiPriority w:val="99"/>
    <w:semiHidden/>
    <w:rsid w:val="00D308E2"/>
    <w:rPr>
      <w:rFonts w:ascii="Tahoma" w:eastAsiaTheme="minorHAnsi" w:hAnsi="Tahoma" w:cs="Tahoma"/>
      <w:sz w:val="16"/>
      <w:szCs w:val="16"/>
      <w:lang w:val="en-GB" w:eastAsia="en-US"/>
    </w:rPr>
  </w:style>
  <w:style w:type="character" w:styleId="AklamaBavurusu">
    <w:name w:val="annotation reference"/>
    <w:basedOn w:val="VarsaylanParagrafYazTipi"/>
    <w:uiPriority w:val="99"/>
    <w:semiHidden/>
    <w:unhideWhenUsed/>
    <w:rsid w:val="00D308E2"/>
    <w:rPr>
      <w:sz w:val="16"/>
      <w:szCs w:val="16"/>
    </w:rPr>
  </w:style>
  <w:style w:type="paragraph" w:styleId="AklamaMetni">
    <w:name w:val="annotation text"/>
    <w:basedOn w:val="Normal"/>
    <w:link w:val="AklamaMetniChar"/>
    <w:uiPriority w:val="99"/>
    <w:semiHidden/>
    <w:unhideWhenUsed/>
    <w:rsid w:val="00D308E2"/>
    <w:pPr>
      <w:spacing w:line="240" w:lineRule="auto"/>
    </w:pPr>
    <w:rPr>
      <w:rFonts w:eastAsiaTheme="minorHAnsi"/>
      <w:sz w:val="20"/>
      <w:szCs w:val="20"/>
      <w:lang w:val="en-GB" w:eastAsia="en-US"/>
    </w:rPr>
  </w:style>
  <w:style w:type="character" w:customStyle="1" w:styleId="AklamaMetniChar">
    <w:name w:val="Açıklama Metni Char"/>
    <w:basedOn w:val="VarsaylanParagrafYazTipi"/>
    <w:link w:val="AklamaMetni"/>
    <w:uiPriority w:val="99"/>
    <w:semiHidden/>
    <w:rsid w:val="00D308E2"/>
    <w:rPr>
      <w:rFonts w:eastAsiaTheme="minorHAnsi"/>
      <w:sz w:val="20"/>
      <w:szCs w:val="20"/>
      <w:lang w:val="en-GB" w:eastAsia="en-US"/>
    </w:rPr>
  </w:style>
  <w:style w:type="paragraph" w:styleId="AklamaKonusu">
    <w:name w:val="annotation subject"/>
    <w:basedOn w:val="AklamaMetni"/>
    <w:next w:val="AklamaMetni"/>
    <w:link w:val="AklamaKonusuChar"/>
    <w:uiPriority w:val="99"/>
    <w:semiHidden/>
    <w:unhideWhenUsed/>
    <w:rsid w:val="00D308E2"/>
    <w:rPr>
      <w:b/>
      <w:bCs/>
    </w:rPr>
  </w:style>
  <w:style w:type="character" w:customStyle="1" w:styleId="AklamaKonusuChar">
    <w:name w:val="Açıklama Konusu Char"/>
    <w:basedOn w:val="AklamaMetniChar"/>
    <w:link w:val="AklamaKonusu"/>
    <w:uiPriority w:val="99"/>
    <w:semiHidden/>
    <w:rsid w:val="00D308E2"/>
    <w:rPr>
      <w:rFonts w:eastAsiaTheme="minorHAnsi"/>
      <w:b/>
      <w:bCs/>
      <w:sz w:val="20"/>
      <w:szCs w:val="20"/>
      <w:lang w:val="en-GB" w:eastAsia="en-US"/>
    </w:rPr>
  </w:style>
  <w:style w:type="paragraph" w:styleId="DipnotMetni">
    <w:name w:val="footnote text"/>
    <w:basedOn w:val="Normal"/>
    <w:link w:val="DipnotMetniChar"/>
    <w:uiPriority w:val="99"/>
    <w:semiHidden/>
    <w:unhideWhenUsed/>
    <w:rsid w:val="00D308E2"/>
    <w:pPr>
      <w:spacing w:after="0" w:line="240" w:lineRule="auto"/>
    </w:pPr>
    <w:rPr>
      <w:rFonts w:eastAsiaTheme="minorHAnsi"/>
      <w:sz w:val="20"/>
      <w:szCs w:val="20"/>
      <w:lang w:val="en-GB" w:eastAsia="en-US"/>
    </w:rPr>
  </w:style>
  <w:style w:type="character" w:customStyle="1" w:styleId="DipnotMetniChar">
    <w:name w:val="Dipnot Metni Char"/>
    <w:basedOn w:val="VarsaylanParagrafYazTipi"/>
    <w:link w:val="DipnotMetni"/>
    <w:uiPriority w:val="99"/>
    <w:semiHidden/>
    <w:rsid w:val="00D308E2"/>
    <w:rPr>
      <w:rFonts w:eastAsiaTheme="minorHAnsi"/>
      <w:sz w:val="20"/>
      <w:szCs w:val="20"/>
      <w:lang w:val="en-GB" w:eastAsia="en-US"/>
    </w:rPr>
  </w:style>
  <w:style w:type="character" w:styleId="DipnotBavurusu">
    <w:name w:val="footnote reference"/>
    <w:basedOn w:val="VarsaylanParagrafYazTipi"/>
    <w:uiPriority w:val="99"/>
    <w:semiHidden/>
    <w:unhideWhenUsed/>
    <w:rsid w:val="00D308E2"/>
    <w:rPr>
      <w:vertAlign w:val="superscript"/>
    </w:rPr>
  </w:style>
  <w:style w:type="character" w:styleId="Kpr">
    <w:name w:val="Hyperlink"/>
    <w:basedOn w:val="VarsaylanParagrafYazTipi"/>
    <w:uiPriority w:val="99"/>
    <w:unhideWhenUsed/>
    <w:rsid w:val="00D308E2"/>
    <w:rPr>
      <w:color w:val="0000FF" w:themeColor="hyperlink"/>
      <w:u w:val="single"/>
    </w:rPr>
  </w:style>
  <w:style w:type="character" w:styleId="zmlenmeyenBahsetme">
    <w:name w:val="Unresolved Mention"/>
    <w:basedOn w:val="VarsaylanParagrafYazTipi"/>
    <w:uiPriority w:val="99"/>
    <w:semiHidden/>
    <w:unhideWhenUsed/>
    <w:rsid w:val="006A6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312227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71B60-113B-49EA-AA10-EC282614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27</Pages>
  <Words>20942</Words>
  <Characters>119372</Characters>
  <Application>Microsoft Office Word</Application>
  <DocSecurity>0</DocSecurity>
  <Lines>994</Lines>
  <Paragraphs>280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1</cp:lastModifiedBy>
  <cp:revision>16</cp:revision>
  <dcterms:created xsi:type="dcterms:W3CDTF">2019-06-10T13:40:00Z</dcterms:created>
  <dcterms:modified xsi:type="dcterms:W3CDTF">2020-06-03T09:58:00Z</dcterms:modified>
</cp:coreProperties>
</file>