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E45" w:rsidRDefault="00940E45" w:rsidP="008A1224">
      <w:pPr>
        <w:spacing w:before="240"/>
        <w:ind w:firstLine="567"/>
        <w:jc w:val="center"/>
        <w:rPr>
          <w:b/>
          <w:bCs/>
          <w:lang w:val="en-GB"/>
        </w:rPr>
      </w:pPr>
      <w:r w:rsidRPr="00940E45">
        <w:rPr>
          <w:b/>
          <w:bCs/>
          <w:lang w:val="en-GB"/>
        </w:rPr>
        <w:t>WHAT IS NURSİ’S POSITIVE ACTION?</w:t>
      </w:r>
    </w:p>
    <w:p w:rsidR="00833150" w:rsidRPr="00940E45" w:rsidRDefault="00833150" w:rsidP="00833150">
      <w:pPr>
        <w:ind w:firstLine="567"/>
        <w:jc w:val="right"/>
        <w:rPr>
          <w:b/>
          <w:bCs/>
          <w:lang w:val="en-GB"/>
        </w:rPr>
      </w:pPr>
      <w:bookmarkStart w:id="0" w:name="_Hlk45232652"/>
      <w:r>
        <w:rPr>
          <w:b/>
          <w:bCs/>
          <w:lang w:val="en-GB"/>
        </w:rPr>
        <w:t>Colin Paul Turner</w:t>
      </w:r>
      <w:r>
        <w:rPr>
          <w:rStyle w:val="DipnotBavurusu"/>
          <w:b/>
          <w:bCs/>
          <w:lang w:val="en-GB"/>
        </w:rPr>
        <w:footnoteReference w:customMarkFollows="1" w:id="1"/>
        <w:t>*</w:t>
      </w:r>
    </w:p>
    <w:bookmarkEnd w:id="0"/>
    <w:p w:rsidR="008A1224" w:rsidRPr="008A1224" w:rsidRDefault="008A1224" w:rsidP="008A1224">
      <w:pPr>
        <w:ind w:firstLine="567"/>
        <w:jc w:val="both"/>
        <w:rPr>
          <w:lang w:val="en-GB"/>
        </w:rPr>
      </w:pPr>
      <w:r w:rsidRPr="008A1224">
        <w:rPr>
          <w:lang w:val="en-GB"/>
        </w:rPr>
        <w:t xml:space="preserve">This paper represents an exploration of thoughts and ideas rather than anything particularly academic. </w:t>
      </w:r>
    </w:p>
    <w:p w:rsidR="008A1224" w:rsidRPr="008A1224" w:rsidRDefault="008A1224" w:rsidP="008A1224">
      <w:pPr>
        <w:ind w:firstLine="567"/>
        <w:jc w:val="both"/>
        <w:rPr>
          <w:lang w:val="en-GB"/>
        </w:rPr>
      </w:pPr>
      <w:r w:rsidRPr="008A1224">
        <w:rPr>
          <w:lang w:val="en-GB"/>
        </w:rPr>
        <w:t xml:space="preserve">One thing that I should clarify from the outset is that </w:t>
      </w:r>
      <w:proofErr w:type="spellStart"/>
      <w:r w:rsidRPr="008A1224">
        <w:rPr>
          <w:lang w:val="en-GB"/>
        </w:rPr>
        <w:t>Nursi’s</w:t>
      </w:r>
      <w:proofErr w:type="spellEnd"/>
      <w:r w:rsidRPr="008A1224">
        <w:rPr>
          <w:lang w:val="en-GB"/>
        </w:rPr>
        <w:t xml:space="preserve"> positive action should not be conflated with this late 20th century social orthodoxy known as ‘positive thinking’.</w:t>
      </w:r>
    </w:p>
    <w:p w:rsidR="008A1224" w:rsidRPr="008A1224" w:rsidRDefault="008A1224" w:rsidP="008A1224">
      <w:pPr>
        <w:ind w:firstLine="567"/>
        <w:jc w:val="both"/>
        <w:rPr>
          <w:lang w:val="en-GB"/>
        </w:rPr>
      </w:pPr>
      <w:r w:rsidRPr="008A1224">
        <w:rPr>
          <w:lang w:val="en-GB"/>
        </w:rPr>
        <w:t>If you visit any bookshop in the UK, you will find shelf after shelf of ‘self-help’ books. Many of them are entreaties to ‘positive thinking’ of various kinds. The writer Karen Armstrong tells a story about a conference she attended where someone she was chatting with said, “If you have true faith, you cannot suffer.” Armstrong suggested that if he lived in a more troubled part of the world – the conference was taking place in London – he might have more of a problem maintaining his equanimity. He, she suggested, like many others who possibly haven’t really lived out their faith under great duress, talk about faith as though it is something that would be able to numb even the pains of a concentration camp.</w:t>
      </w:r>
    </w:p>
    <w:p w:rsidR="008A1224" w:rsidRPr="008A1224" w:rsidRDefault="008A1224" w:rsidP="008A1224">
      <w:pPr>
        <w:ind w:firstLine="567"/>
        <w:jc w:val="both"/>
        <w:rPr>
          <w:lang w:val="en-GB"/>
        </w:rPr>
      </w:pPr>
      <w:r w:rsidRPr="008A1224">
        <w:rPr>
          <w:lang w:val="en-GB"/>
        </w:rPr>
        <w:t xml:space="preserve">Think positively, we are told, and everything will be fine; all will be well. Well I don’t really think so. In any case, isn’t faith – Islamic faith in particular – supposed to make us see the world ‘as </w:t>
      </w:r>
      <w:proofErr w:type="gramStart"/>
      <w:r w:rsidRPr="008A1224">
        <w:rPr>
          <w:lang w:val="en-GB"/>
        </w:rPr>
        <w:t>it</w:t>
      </w:r>
      <w:proofErr w:type="gramEnd"/>
      <w:r w:rsidRPr="008A1224">
        <w:rPr>
          <w:lang w:val="en-GB"/>
        </w:rPr>
        <w:t xml:space="preserve"> is’ (ka ma hiya), warts and all? Otherwise how can we engage with it? Some people talk about faith as though it is something that can be used not to obviate the pain that we feel when looking at the world ‘as it really is’, but as something that can be used to cover our eyes so that we no longer see it. That is how some people talk about faith.</w:t>
      </w:r>
    </w:p>
    <w:p w:rsidR="008A1224" w:rsidRPr="008A1224" w:rsidRDefault="008A1224" w:rsidP="008A1224">
      <w:pPr>
        <w:ind w:firstLine="567"/>
        <w:jc w:val="both"/>
        <w:rPr>
          <w:lang w:val="en-GB"/>
        </w:rPr>
      </w:pPr>
      <w:r w:rsidRPr="008A1224">
        <w:rPr>
          <w:lang w:val="en-GB"/>
        </w:rPr>
        <w:t xml:space="preserve">This ‘positive thinking’ message becomes particularly toxic when it is used by governments as an </w:t>
      </w:r>
      <w:proofErr w:type="spellStart"/>
      <w:r w:rsidRPr="008A1224">
        <w:rPr>
          <w:lang w:val="en-GB"/>
        </w:rPr>
        <w:t>anasthetic</w:t>
      </w:r>
      <w:proofErr w:type="spellEnd"/>
      <w:r w:rsidRPr="008A1224">
        <w:rPr>
          <w:lang w:val="en-GB"/>
        </w:rPr>
        <w:t xml:space="preserve">. The </w:t>
      </w:r>
      <w:proofErr w:type="spellStart"/>
      <w:r w:rsidRPr="008A1224">
        <w:rPr>
          <w:lang w:val="en-GB"/>
        </w:rPr>
        <w:t>anesthesia</w:t>
      </w:r>
      <w:proofErr w:type="spellEnd"/>
      <w:r w:rsidRPr="008A1224">
        <w:rPr>
          <w:lang w:val="en-GB"/>
        </w:rPr>
        <w:t xml:space="preserve"> of positivity is just one of the many forms of social control employed to </w:t>
      </w:r>
      <w:r w:rsidRPr="008A1224">
        <w:rPr>
          <w:lang w:val="en-GB"/>
        </w:rPr>
        <w:lastRenderedPageBreak/>
        <w:t xml:space="preserve">keep the people in a state of drugged insensibility to what is really going on in the world. But in a global world which can be accessed by pressing a social media button, we can no longer afford to ignore the voices of the oppressed or, as Karen Armstrong puts it, “edit out the misery in people’s lives.” </w:t>
      </w:r>
    </w:p>
    <w:p w:rsidR="008A1224" w:rsidRPr="008A1224" w:rsidRDefault="008A1224" w:rsidP="008A1224">
      <w:pPr>
        <w:ind w:firstLine="567"/>
        <w:jc w:val="both"/>
        <w:rPr>
          <w:lang w:val="en-GB"/>
        </w:rPr>
      </w:pPr>
      <w:r w:rsidRPr="008A1224">
        <w:rPr>
          <w:lang w:val="en-GB"/>
        </w:rPr>
        <w:t>In the past, for example, my own government in the UK has pursued policies that have resulted in great suffering. And throughout they caution us to ‘think positively’. They even told us to think positively as they bombed Baghdad in 2003. And so, we tried to think positively as they flattened the city, wondering whether their ‘smart bombs’ really were doing their best to avoid civilian casualties, as our ‘positive thinking’ leaders promised us they would.</w:t>
      </w:r>
    </w:p>
    <w:p w:rsidR="008A1224" w:rsidRPr="008A1224" w:rsidRDefault="008A1224" w:rsidP="008A1224">
      <w:pPr>
        <w:ind w:firstLine="567"/>
        <w:jc w:val="both"/>
        <w:rPr>
          <w:lang w:val="en-GB"/>
        </w:rPr>
      </w:pPr>
      <w:r w:rsidRPr="008A1224">
        <w:rPr>
          <w:lang w:val="en-GB"/>
        </w:rPr>
        <w:t xml:space="preserve">Well, we have let conflicts continue until they have become humanitarian disasters. Of course, today in Western Europe – and elsewhere – we are reaping the reward of decades, if not centuries, of heedlessness as the pain that we tended to ignore in so many parts of the world </w:t>
      </w:r>
      <w:proofErr w:type="gramStart"/>
      <w:r w:rsidRPr="008A1224">
        <w:rPr>
          <w:lang w:val="en-GB"/>
        </w:rPr>
        <w:t>has</w:t>
      </w:r>
      <w:proofErr w:type="gramEnd"/>
      <w:r w:rsidRPr="008A1224">
        <w:rPr>
          <w:lang w:val="en-GB"/>
        </w:rPr>
        <w:t xml:space="preserve"> turned into a murderous rage. So, I just wanted to separate this western social orthodoxy of ‘positive thinking’ from </w:t>
      </w:r>
      <w:proofErr w:type="spellStart"/>
      <w:r w:rsidRPr="008A1224">
        <w:rPr>
          <w:lang w:val="en-GB"/>
        </w:rPr>
        <w:t>Ustad</w:t>
      </w:r>
      <w:proofErr w:type="spellEnd"/>
      <w:r w:rsidRPr="008A1224">
        <w:rPr>
          <w:lang w:val="en-GB"/>
        </w:rPr>
        <w:t xml:space="preserve"> </w:t>
      </w:r>
      <w:proofErr w:type="spellStart"/>
      <w:r w:rsidRPr="008A1224">
        <w:rPr>
          <w:lang w:val="en-GB"/>
        </w:rPr>
        <w:t>Nursi’s</w:t>
      </w:r>
      <w:proofErr w:type="spellEnd"/>
      <w:r w:rsidRPr="008A1224">
        <w:rPr>
          <w:lang w:val="en-GB"/>
        </w:rPr>
        <w:t xml:space="preserve"> principle of ‘positive action’, because they are very different.</w:t>
      </w:r>
    </w:p>
    <w:p w:rsidR="008A1224" w:rsidRPr="008A1224" w:rsidRDefault="008A1224" w:rsidP="008A1224">
      <w:pPr>
        <w:ind w:firstLine="567"/>
        <w:jc w:val="both"/>
        <w:rPr>
          <w:lang w:val="en-GB"/>
        </w:rPr>
      </w:pPr>
      <w:proofErr w:type="gramStart"/>
      <w:r w:rsidRPr="008A1224">
        <w:rPr>
          <w:lang w:val="en-GB"/>
        </w:rPr>
        <w:t>So</w:t>
      </w:r>
      <w:proofErr w:type="gramEnd"/>
      <w:r w:rsidRPr="008A1224">
        <w:rPr>
          <w:lang w:val="en-GB"/>
        </w:rPr>
        <w:t xml:space="preserve"> what is ‘positive action’ in the </w:t>
      </w:r>
      <w:proofErr w:type="spellStart"/>
      <w:r w:rsidRPr="008A1224">
        <w:rPr>
          <w:lang w:val="en-GB"/>
        </w:rPr>
        <w:t>Nursian</w:t>
      </w:r>
      <w:proofErr w:type="spellEnd"/>
      <w:r w:rsidRPr="008A1224">
        <w:rPr>
          <w:lang w:val="en-GB"/>
        </w:rPr>
        <w:t xml:space="preserve"> sense of the term? Well, if we consider the framework of which this notion is part – and it is the framework of the </w:t>
      </w:r>
      <w:proofErr w:type="spellStart"/>
      <w:r w:rsidRPr="008A1224">
        <w:rPr>
          <w:lang w:val="en-GB"/>
        </w:rPr>
        <w:t>Risale-i</w:t>
      </w:r>
      <w:proofErr w:type="spellEnd"/>
      <w:r w:rsidRPr="008A1224">
        <w:rPr>
          <w:lang w:val="en-GB"/>
        </w:rPr>
        <w:t xml:space="preserve"> Nur – it is the framework of worshipfulness – </w:t>
      </w:r>
      <w:proofErr w:type="spellStart"/>
      <w:r w:rsidRPr="008A1224">
        <w:rPr>
          <w:lang w:val="en-GB"/>
        </w:rPr>
        <w:t>ubudiyyet</w:t>
      </w:r>
      <w:proofErr w:type="spellEnd"/>
      <w:r w:rsidRPr="008A1224">
        <w:rPr>
          <w:lang w:val="en-GB"/>
        </w:rPr>
        <w:t xml:space="preserve">. ‘Positive action’ in this sense means acting in accordance with the precepts of Divine wisdom and not </w:t>
      </w:r>
      <w:proofErr w:type="gramStart"/>
      <w:r w:rsidRPr="008A1224">
        <w:rPr>
          <w:lang w:val="en-GB"/>
        </w:rPr>
        <w:t>on the basis of</w:t>
      </w:r>
      <w:proofErr w:type="gramEnd"/>
      <w:r w:rsidRPr="008A1224">
        <w:rPr>
          <w:lang w:val="en-GB"/>
        </w:rPr>
        <w:t xml:space="preserve"> personal desire. It means acting not for the sake of the self. In other words, it is directed action, grounded action. It means acting in accordance with Qur’anic principles and precepts, and it is directed towards deepening the sense of communion that we have with our Creator. Now in one sense, nothing is done for His sake; it’s all done for our own sake, when it comes down to it. Because He needs nothing from us. We, on the other hand, need everything from Him. And positive action is an acknowledgment of this. So, we can see immediately that positive action is not actually a method, as most have </w:t>
      </w:r>
      <w:r w:rsidRPr="008A1224">
        <w:rPr>
          <w:lang w:val="en-GB"/>
        </w:rPr>
        <w:lastRenderedPageBreak/>
        <w:t>portrayed it: it is a methodology. A method is a single tool; a methodology is the whole tool kit.</w:t>
      </w:r>
    </w:p>
    <w:p w:rsidR="008A1224" w:rsidRPr="008A1224" w:rsidRDefault="008A1224" w:rsidP="008A1224">
      <w:pPr>
        <w:ind w:firstLine="567"/>
        <w:jc w:val="both"/>
        <w:rPr>
          <w:lang w:val="en-GB"/>
        </w:rPr>
      </w:pPr>
      <w:r w:rsidRPr="008A1224">
        <w:rPr>
          <w:lang w:val="en-GB"/>
        </w:rPr>
        <w:t xml:space="preserve">Traditionally, as I said, positive action in the </w:t>
      </w:r>
      <w:proofErr w:type="spellStart"/>
      <w:r w:rsidRPr="008A1224">
        <w:rPr>
          <w:lang w:val="en-GB"/>
        </w:rPr>
        <w:t>Nursian</w:t>
      </w:r>
      <w:proofErr w:type="spellEnd"/>
      <w:r w:rsidRPr="008A1224">
        <w:rPr>
          <w:lang w:val="en-GB"/>
        </w:rPr>
        <w:t xml:space="preserve"> context has been linked specifically with the issue of metaphorical jihad – jihad-</w:t>
      </w:r>
      <w:proofErr w:type="spellStart"/>
      <w:r w:rsidRPr="008A1224">
        <w:rPr>
          <w:lang w:val="en-GB"/>
        </w:rPr>
        <w:t>i</w:t>
      </w:r>
      <w:proofErr w:type="spellEnd"/>
      <w:r w:rsidRPr="008A1224">
        <w:rPr>
          <w:lang w:val="en-GB"/>
        </w:rPr>
        <w:t xml:space="preserve"> </w:t>
      </w:r>
      <w:proofErr w:type="spellStart"/>
      <w:r w:rsidRPr="008A1224">
        <w:rPr>
          <w:lang w:val="en-GB"/>
        </w:rPr>
        <w:t>manevi</w:t>
      </w:r>
      <w:proofErr w:type="spellEnd"/>
      <w:r w:rsidRPr="008A1224">
        <w:rPr>
          <w:lang w:val="en-GB"/>
        </w:rPr>
        <w:t xml:space="preserve">. But I see positivity in most, if not all, of the concepts and approaches defined in the </w:t>
      </w:r>
      <w:proofErr w:type="spellStart"/>
      <w:r w:rsidRPr="008A1224">
        <w:rPr>
          <w:lang w:val="en-GB"/>
        </w:rPr>
        <w:t>Risale-i</w:t>
      </w:r>
      <w:proofErr w:type="spellEnd"/>
      <w:r w:rsidRPr="008A1224">
        <w:rPr>
          <w:lang w:val="en-GB"/>
        </w:rPr>
        <w:t xml:space="preserve"> Nur. </w:t>
      </w:r>
    </w:p>
    <w:p w:rsidR="008A1224" w:rsidRPr="008A1224" w:rsidRDefault="008A1224" w:rsidP="008A1224">
      <w:pPr>
        <w:ind w:firstLine="567"/>
        <w:jc w:val="both"/>
        <w:rPr>
          <w:lang w:val="en-GB"/>
        </w:rPr>
      </w:pPr>
      <w:r w:rsidRPr="008A1224">
        <w:rPr>
          <w:lang w:val="en-GB"/>
        </w:rPr>
        <w:t xml:space="preserve">Let me elaborate. Human beings are ‘meaning-making </w:t>
      </w:r>
      <w:proofErr w:type="gramStart"/>
      <w:r w:rsidRPr="008A1224">
        <w:rPr>
          <w:lang w:val="en-GB"/>
        </w:rPr>
        <w:t>beings’</w:t>
      </w:r>
      <w:proofErr w:type="gramEnd"/>
      <w:r w:rsidRPr="008A1224">
        <w:rPr>
          <w:lang w:val="en-GB"/>
        </w:rPr>
        <w:t xml:space="preserve">. We are beings who are given inherently to hermeneutical thinking. Language is the tool we use that allows us to think and communicate symbolically. It allows us to read; it allows us to interpret. When the Prophet was told to read – </w:t>
      </w:r>
      <w:proofErr w:type="spellStart"/>
      <w:r w:rsidRPr="008A1224">
        <w:rPr>
          <w:lang w:val="en-GB"/>
        </w:rPr>
        <w:t>iqra</w:t>
      </w:r>
      <w:proofErr w:type="spellEnd"/>
      <w:r w:rsidRPr="008A1224">
        <w:rPr>
          <w:lang w:val="en-GB"/>
        </w:rPr>
        <w:t xml:space="preserve">! – he was in fact told to interpret. So, to be born into this world, to be thrown into this vast, swirling maelstrom of signs and symbols, is to be tasked with the duty of interpreting. We are born to read, to interpret. We </w:t>
      </w:r>
      <w:proofErr w:type="gramStart"/>
      <w:r w:rsidRPr="008A1224">
        <w:rPr>
          <w:lang w:val="en-GB"/>
        </w:rPr>
        <w:t>have to</w:t>
      </w:r>
      <w:proofErr w:type="gramEnd"/>
      <w:r w:rsidRPr="008A1224">
        <w:rPr>
          <w:lang w:val="en-GB"/>
        </w:rPr>
        <w:t xml:space="preserve"> make sense of what we see around us. Now those who are unable to make sense of the world, or those who are unwilling to make sense of it, are doomed to live a life of alienation or of abject cognitive confusion and intellectual servitude. How do we escape that fate? It depends. It depends on whether we </w:t>
      </w:r>
      <w:proofErr w:type="gramStart"/>
      <w:r w:rsidRPr="008A1224">
        <w:rPr>
          <w:lang w:val="en-GB"/>
        </w:rPr>
        <w:t>are able to</w:t>
      </w:r>
      <w:proofErr w:type="gramEnd"/>
      <w:r w:rsidRPr="008A1224">
        <w:rPr>
          <w:lang w:val="en-GB"/>
        </w:rPr>
        <w:t xml:space="preserve"> think ontologically, which is what the very first revelation to the Prophet was concerned with.</w:t>
      </w:r>
    </w:p>
    <w:p w:rsidR="008A1224" w:rsidRPr="008A1224" w:rsidRDefault="008A1224" w:rsidP="008A1224">
      <w:pPr>
        <w:ind w:firstLine="567"/>
        <w:jc w:val="both"/>
        <w:rPr>
          <w:lang w:val="en-GB"/>
        </w:rPr>
      </w:pPr>
      <w:r w:rsidRPr="008A1224">
        <w:rPr>
          <w:lang w:val="en-GB"/>
        </w:rPr>
        <w:t xml:space="preserve">Now for </w:t>
      </w:r>
      <w:proofErr w:type="gramStart"/>
      <w:r w:rsidRPr="008A1224">
        <w:rPr>
          <w:lang w:val="en-GB"/>
        </w:rPr>
        <w:t>the vast majority of</w:t>
      </w:r>
      <w:proofErr w:type="gramEnd"/>
      <w:r w:rsidRPr="008A1224">
        <w:rPr>
          <w:lang w:val="en-GB"/>
        </w:rPr>
        <w:t xml:space="preserve"> people on earth, ontological thinking is not something that is deemed worthy of consideration, at least not to any great degree. If there is existential angst in people, it is usually a juvenile phase, something that happens in our teenage years. And children, as they grow up, ask questions which, as they become more searching, are increasingly ignored or subverted. Mothers and fathers can be heard all the time telling their young children to ‘stop asking so many questions’. I hear this </w:t>
      </w:r>
      <w:proofErr w:type="gramStart"/>
      <w:r w:rsidRPr="008A1224">
        <w:rPr>
          <w:lang w:val="en-GB"/>
        </w:rPr>
        <w:t>all of</w:t>
      </w:r>
      <w:proofErr w:type="gramEnd"/>
      <w:r w:rsidRPr="008A1224">
        <w:rPr>
          <w:lang w:val="en-GB"/>
        </w:rPr>
        <w:t xml:space="preserve"> the time in supermarkets, for some reason. The answering of questions is devolved upon the educators – the schoolteachers – to whom we entrust our children for six hours a day. Questions, if they are to be answered at all, are best answered by ‘those who know’ – the secular ‘ulama, the engineers of our collective social intellect. </w:t>
      </w:r>
    </w:p>
    <w:p w:rsidR="008A1224" w:rsidRPr="008A1224" w:rsidRDefault="008A1224" w:rsidP="008A1224">
      <w:pPr>
        <w:ind w:firstLine="567"/>
        <w:jc w:val="both"/>
        <w:rPr>
          <w:lang w:val="en-GB"/>
        </w:rPr>
      </w:pPr>
      <w:r w:rsidRPr="008A1224">
        <w:rPr>
          <w:lang w:val="en-GB"/>
        </w:rPr>
        <w:lastRenderedPageBreak/>
        <w:t xml:space="preserve">Now the secular education system – and don’t think that the Muslim world doesn’t have a secular education system, because it absolutely does – serves to answer the questions its clients – its children – puts to it in accordance with the dominant social narrative. Of course, you know that the default setting of secular society is, quite obviously, secularity, mixed in with materialism, naturalism, scientific materialism, and so on. And the vast masses of the largely unthinking world do not know what they </w:t>
      </w:r>
      <w:proofErr w:type="gramStart"/>
      <w:r w:rsidRPr="008A1224">
        <w:rPr>
          <w:lang w:val="en-GB"/>
        </w:rPr>
        <w:t>actually believe</w:t>
      </w:r>
      <w:proofErr w:type="gramEnd"/>
      <w:r w:rsidRPr="008A1224">
        <w:rPr>
          <w:lang w:val="en-GB"/>
        </w:rPr>
        <w:t xml:space="preserve"> until they are told what they believe. Their faith is usually science or scientism, scientific progress, technological progress, and so on. Those who find themselves hungry for something other than the staple fare of secular materialism are pushed towards increasingly non-conformist religion or, more often, spirituality without religion. You will find people all the time saying, “I am very spiritual, but I’m not religious.” In this sort of bubble, people </w:t>
      </w:r>
      <w:proofErr w:type="gramStart"/>
      <w:r w:rsidRPr="008A1224">
        <w:rPr>
          <w:lang w:val="en-GB"/>
        </w:rPr>
        <w:t>are able to</w:t>
      </w:r>
      <w:proofErr w:type="gramEnd"/>
      <w:r w:rsidRPr="008A1224">
        <w:rPr>
          <w:lang w:val="en-GB"/>
        </w:rPr>
        <w:t xml:space="preserve"> explore their innate and inexplicable desire for transcendence by tasting and testing various expressions of faith. Some will of course gravitate towards one of the world religions – usually Christianity, Judaism or Islam – all of which have been secularised virtually beyond recognition. But once they have arrived at their ‘faith of choice’, ontological thinking, which should be a feature of faith, is in most cases conspicuous by its absence.</w:t>
      </w:r>
    </w:p>
    <w:p w:rsidR="008A1224" w:rsidRPr="008A1224" w:rsidRDefault="008A1224" w:rsidP="008A1224">
      <w:pPr>
        <w:ind w:firstLine="567"/>
        <w:jc w:val="both"/>
        <w:rPr>
          <w:lang w:val="en-GB"/>
        </w:rPr>
      </w:pPr>
      <w:r w:rsidRPr="008A1224">
        <w:rPr>
          <w:lang w:val="en-GB"/>
        </w:rPr>
        <w:t xml:space="preserve">The fact that ontological thinking is valued so highly by the Quran is indicated by the large number of verses that tell us that we must make </w:t>
      </w:r>
      <w:proofErr w:type="spellStart"/>
      <w:r w:rsidRPr="008A1224">
        <w:rPr>
          <w:lang w:val="en-GB"/>
        </w:rPr>
        <w:t>tafakkur</w:t>
      </w:r>
      <w:proofErr w:type="spellEnd"/>
      <w:r w:rsidRPr="008A1224">
        <w:rPr>
          <w:lang w:val="en-GB"/>
        </w:rPr>
        <w:t xml:space="preserve">, </w:t>
      </w:r>
      <w:proofErr w:type="spellStart"/>
      <w:r w:rsidRPr="008A1224">
        <w:rPr>
          <w:lang w:val="en-GB"/>
        </w:rPr>
        <w:t>tadabbur</w:t>
      </w:r>
      <w:proofErr w:type="spellEnd"/>
      <w:r w:rsidRPr="008A1224">
        <w:rPr>
          <w:lang w:val="en-GB"/>
        </w:rPr>
        <w:t xml:space="preserve">, </w:t>
      </w:r>
      <w:proofErr w:type="spellStart"/>
      <w:r w:rsidRPr="008A1224">
        <w:rPr>
          <w:lang w:val="en-GB"/>
        </w:rPr>
        <w:t>ta’aqqul</w:t>
      </w:r>
      <w:proofErr w:type="spellEnd"/>
      <w:r w:rsidRPr="008A1224">
        <w:rPr>
          <w:lang w:val="en-GB"/>
        </w:rPr>
        <w:t xml:space="preserve"> and </w:t>
      </w:r>
      <w:proofErr w:type="spellStart"/>
      <w:r w:rsidRPr="008A1224">
        <w:rPr>
          <w:lang w:val="en-GB"/>
        </w:rPr>
        <w:t>tadhakkur</w:t>
      </w:r>
      <w:proofErr w:type="spellEnd"/>
      <w:r w:rsidRPr="008A1224">
        <w:rPr>
          <w:lang w:val="en-GB"/>
        </w:rPr>
        <w:t xml:space="preserve">. We </w:t>
      </w:r>
      <w:proofErr w:type="gramStart"/>
      <w:r w:rsidRPr="008A1224">
        <w:rPr>
          <w:lang w:val="en-GB"/>
        </w:rPr>
        <w:t>have to</w:t>
      </w:r>
      <w:proofErr w:type="gramEnd"/>
      <w:r w:rsidRPr="008A1224">
        <w:rPr>
          <w:lang w:val="en-GB"/>
        </w:rPr>
        <w:t xml:space="preserve"> reflect, we have to deliberate, we have to reason, and we have to remember. No other religion, no other faith, places such a high value on these cognitive functions as Islam places.</w:t>
      </w:r>
    </w:p>
    <w:p w:rsidR="008A1224" w:rsidRPr="008A1224" w:rsidRDefault="008A1224" w:rsidP="008A1224">
      <w:pPr>
        <w:ind w:firstLine="567"/>
        <w:jc w:val="both"/>
        <w:rPr>
          <w:lang w:val="en-GB"/>
        </w:rPr>
      </w:pPr>
      <w:r w:rsidRPr="008A1224">
        <w:rPr>
          <w:lang w:val="en-GB"/>
        </w:rPr>
        <w:t>Now it is from ontology that epistemology emerges, and it is from epistemology that we derive moral systems which determine and regulate our behaviours as believers. It is ontological thinking that addresses the big existential questions. Epistemology involves the search for answers from revelation, which then informs morality and action, behaviour. These four poles – ontology, epistemology, morality and behaviour – are the four poles on which a Muslim believer’s life in this world, and the next, are built.</w:t>
      </w:r>
    </w:p>
    <w:p w:rsidR="008A1224" w:rsidRPr="008A1224" w:rsidRDefault="008A1224" w:rsidP="008A1224">
      <w:pPr>
        <w:ind w:firstLine="567"/>
        <w:jc w:val="both"/>
        <w:rPr>
          <w:lang w:val="en-GB"/>
        </w:rPr>
      </w:pPr>
      <w:r w:rsidRPr="008A1224">
        <w:rPr>
          <w:lang w:val="en-GB"/>
        </w:rPr>
        <w:lastRenderedPageBreak/>
        <w:t xml:space="preserve">Now, </w:t>
      </w:r>
      <w:proofErr w:type="spellStart"/>
      <w:r w:rsidRPr="008A1224">
        <w:rPr>
          <w:lang w:val="en-GB"/>
        </w:rPr>
        <w:t>Ustad</w:t>
      </w:r>
      <w:proofErr w:type="spellEnd"/>
      <w:r w:rsidRPr="008A1224">
        <w:rPr>
          <w:lang w:val="en-GB"/>
        </w:rPr>
        <w:t xml:space="preserve"> </w:t>
      </w:r>
      <w:proofErr w:type="spellStart"/>
      <w:r w:rsidRPr="008A1224">
        <w:rPr>
          <w:lang w:val="en-GB"/>
        </w:rPr>
        <w:t>Nursi</w:t>
      </w:r>
      <w:proofErr w:type="spellEnd"/>
      <w:r w:rsidRPr="008A1224">
        <w:rPr>
          <w:lang w:val="en-GB"/>
        </w:rPr>
        <w:t xml:space="preserve"> paints a very simple picture</w:t>
      </w:r>
      <w:proofErr w:type="gramStart"/>
      <w:r w:rsidRPr="008A1224">
        <w:rPr>
          <w:lang w:val="en-GB"/>
        </w:rPr>
        <w:t>, actually, of</w:t>
      </w:r>
      <w:proofErr w:type="gramEnd"/>
      <w:r w:rsidRPr="008A1224">
        <w:rPr>
          <w:lang w:val="en-GB"/>
        </w:rPr>
        <w:t xml:space="preserve"> the epistemological choices open to human beings. Before us there are two paths: the line of philosophy and the line of prophethood. The first line – philosophy – derives knowledge and meaning from the world solely by means of the use of reason. The other path – prophethood – derives knowledge and meaning from the world by means of the use of both reason and revelation.</w:t>
      </w:r>
    </w:p>
    <w:p w:rsidR="008A1224" w:rsidRPr="008A1224" w:rsidRDefault="008A1224" w:rsidP="008A1224">
      <w:pPr>
        <w:ind w:firstLine="567"/>
        <w:jc w:val="both"/>
        <w:rPr>
          <w:lang w:val="en-GB"/>
        </w:rPr>
      </w:pPr>
      <w:r w:rsidRPr="008A1224">
        <w:rPr>
          <w:lang w:val="en-GB"/>
        </w:rPr>
        <w:t xml:space="preserve">Morality, for unregenerate, secular man – for the man who is not interested in asking the big existential questions – is arrived at </w:t>
      </w:r>
      <w:proofErr w:type="gramStart"/>
      <w:r w:rsidRPr="008A1224">
        <w:rPr>
          <w:lang w:val="en-GB"/>
        </w:rPr>
        <w:t>by the use of</w:t>
      </w:r>
      <w:proofErr w:type="gramEnd"/>
      <w:r w:rsidRPr="008A1224">
        <w:rPr>
          <w:lang w:val="en-GB"/>
        </w:rPr>
        <w:t xml:space="preserve"> reason that is guided by social and personal interest. Secular morality takes from revelation only those things that have social and personal utility. For secular morality is highly instrumentalist, utilitarian and consequentialist: it is geared towards the attainment of personal and social benefit, </w:t>
      </w:r>
      <w:proofErr w:type="gramStart"/>
      <w:r w:rsidRPr="008A1224">
        <w:rPr>
          <w:lang w:val="en-GB"/>
        </w:rPr>
        <w:t>whether or not</w:t>
      </w:r>
      <w:proofErr w:type="gramEnd"/>
      <w:r w:rsidRPr="008A1224">
        <w:rPr>
          <w:lang w:val="en-GB"/>
        </w:rPr>
        <w:t xml:space="preserve"> revelation is in agreement with it. Behaviours are determined and regulated by morality which is largely laissez faire: anything goes. Over time, the dependence of behaviour on the moral system is overturned as, increasingly, behaviour itself begins to determine morality. Values become inverted, by stealth. Morality is no longer the ground from which behaviour emerges; rather, morality is now moulded in accordance with the behaviours that have been sanctioned by the majority. It represents an overturning of the traditional system, in which ontology determined epistemology, in which epistemology determined the system of morality, and in which the system of morality prescribed and regulated behaviours. This whole system has been violated and turned on its head. </w:t>
      </w:r>
    </w:p>
    <w:p w:rsidR="008A1224" w:rsidRPr="008A1224" w:rsidRDefault="008A1224" w:rsidP="008A1224">
      <w:pPr>
        <w:ind w:firstLine="567"/>
        <w:jc w:val="both"/>
        <w:rPr>
          <w:lang w:val="en-GB"/>
        </w:rPr>
      </w:pPr>
      <w:r w:rsidRPr="008A1224">
        <w:rPr>
          <w:lang w:val="en-GB"/>
        </w:rPr>
        <w:t xml:space="preserve">In the Islamic – the Quranic – system, however, the traditional system persists. In theory, it is eternal. In practice, one can already see cracks and fissures appearing as Muslims increasingly take their intellectual orders from the non-Muslim world. In theory, our ontological system has primacy, giving rise to a revelation-oriented epistemology, which in turn determines our </w:t>
      </w:r>
      <w:proofErr w:type="spellStart"/>
      <w:r w:rsidRPr="008A1224">
        <w:rPr>
          <w:lang w:val="en-GB"/>
        </w:rPr>
        <w:t>ethico</w:t>
      </w:r>
      <w:proofErr w:type="spellEnd"/>
      <w:r w:rsidRPr="008A1224">
        <w:rPr>
          <w:lang w:val="en-GB"/>
        </w:rPr>
        <w:t>-morality system, which is responsible for prescribing and regulating behaviours.</w:t>
      </w:r>
    </w:p>
    <w:p w:rsidR="008A1224" w:rsidRPr="008A1224" w:rsidRDefault="008A1224" w:rsidP="008A1224">
      <w:pPr>
        <w:ind w:firstLine="567"/>
        <w:jc w:val="both"/>
        <w:rPr>
          <w:lang w:val="en-GB"/>
        </w:rPr>
      </w:pPr>
      <w:r w:rsidRPr="008A1224">
        <w:rPr>
          <w:lang w:val="en-GB"/>
        </w:rPr>
        <w:lastRenderedPageBreak/>
        <w:t xml:space="preserve">In the secular system in which we all live, things are very different now. We have reached the point in our secular adventure at which, as we have seen, behaviour can </w:t>
      </w:r>
      <w:proofErr w:type="gramStart"/>
      <w:r w:rsidRPr="008A1224">
        <w:rPr>
          <w:lang w:val="en-GB"/>
        </w:rPr>
        <w:t>actually determine</w:t>
      </w:r>
      <w:proofErr w:type="gramEnd"/>
      <w:r w:rsidRPr="008A1224">
        <w:rPr>
          <w:lang w:val="en-GB"/>
        </w:rPr>
        <w:t xml:space="preserve"> values. One very pertinent example is the whole LGBTQ+ issue, which typifies the breakdown of morality that occurs when behaviours dictate the direction in which morality ought to move, and when actions determine the nature and form of the value system.</w:t>
      </w:r>
    </w:p>
    <w:p w:rsidR="008A1224" w:rsidRPr="008A1224" w:rsidRDefault="008A1224" w:rsidP="008A1224">
      <w:pPr>
        <w:ind w:firstLine="567"/>
        <w:jc w:val="both"/>
        <w:rPr>
          <w:lang w:val="en-GB"/>
        </w:rPr>
      </w:pPr>
      <w:r w:rsidRPr="008A1224">
        <w:rPr>
          <w:lang w:val="en-GB"/>
        </w:rPr>
        <w:t xml:space="preserve">Now it is clear that the secular worldview is predicated on negativity, on the first half of the phrase La </w:t>
      </w:r>
      <w:proofErr w:type="spellStart"/>
      <w:r w:rsidRPr="008A1224">
        <w:rPr>
          <w:lang w:val="en-GB"/>
        </w:rPr>
        <w:t>ilaha</w:t>
      </w:r>
      <w:proofErr w:type="spellEnd"/>
      <w:r w:rsidRPr="008A1224">
        <w:rPr>
          <w:lang w:val="en-GB"/>
        </w:rPr>
        <w:t xml:space="preserve"> </w:t>
      </w:r>
      <w:proofErr w:type="spellStart"/>
      <w:r w:rsidRPr="008A1224">
        <w:rPr>
          <w:lang w:val="en-GB"/>
        </w:rPr>
        <w:t>illAllah</w:t>
      </w:r>
      <w:proofErr w:type="spellEnd"/>
      <w:r w:rsidRPr="008A1224">
        <w:rPr>
          <w:lang w:val="en-GB"/>
        </w:rPr>
        <w:t xml:space="preserve">. There is no god. Period. And in the absence of God – which is the ultimate negativity – all things are allowed. Given this negativity, we can see that this is where the notion of ‘positive action’ as an infrastructure, if you will, or as a methodology, comes into play. Our degenerate secular system is predicated on negativity. You only </w:t>
      </w:r>
      <w:proofErr w:type="gramStart"/>
      <w:r w:rsidRPr="008A1224">
        <w:rPr>
          <w:lang w:val="en-GB"/>
        </w:rPr>
        <w:t>have to</w:t>
      </w:r>
      <w:proofErr w:type="gramEnd"/>
      <w:r w:rsidRPr="008A1224">
        <w:rPr>
          <w:lang w:val="en-GB"/>
        </w:rPr>
        <w:t xml:space="preserve"> look at the ontological basis of modernity to understand this. Of course, it is modernity which </w:t>
      </w:r>
      <w:proofErr w:type="spellStart"/>
      <w:r w:rsidRPr="008A1224">
        <w:rPr>
          <w:lang w:val="en-GB"/>
        </w:rPr>
        <w:t>Ustad</w:t>
      </w:r>
      <w:proofErr w:type="spellEnd"/>
      <w:r w:rsidRPr="008A1224">
        <w:rPr>
          <w:lang w:val="en-GB"/>
        </w:rPr>
        <w:t xml:space="preserve"> </w:t>
      </w:r>
      <w:proofErr w:type="spellStart"/>
      <w:r w:rsidRPr="008A1224">
        <w:rPr>
          <w:lang w:val="en-GB"/>
        </w:rPr>
        <w:t>Nursi</w:t>
      </w:r>
      <w:proofErr w:type="spellEnd"/>
      <w:r w:rsidRPr="008A1224">
        <w:rPr>
          <w:lang w:val="en-GB"/>
        </w:rPr>
        <w:t xml:space="preserve"> was writing </w:t>
      </w:r>
      <w:proofErr w:type="gramStart"/>
      <w:r w:rsidRPr="008A1224">
        <w:rPr>
          <w:lang w:val="en-GB"/>
        </w:rPr>
        <w:t>about:</w:t>
      </w:r>
      <w:proofErr w:type="gramEnd"/>
      <w:r w:rsidRPr="008A1224">
        <w:rPr>
          <w:lang w:val="en-GB"/>
        </w:rPr>
        <w:t xml:space="preserve"> the whole of the </w:t>
      </w:r>
      <w:proofErr w:type="spellStart"/>
      <w:r w:rsidRPr="008A1224">
        <w:rPr>
          <w:lang w:val="en-GB"/>
        </w:rPr>
        <w:t>Risale-i</w:t>
      </w:r>
      <w:proofErr w:type="spellEnd"/>
      <w:r w:rsidRPr="008A1224">
        <w:rPr>
          <w:lang w:val="en-GB"/>
        </w:rPr>
        <w:t xml:space="preserve"> Nur is, from one very important perspective, a reaction to the encroachment of rapacious modernity. Modernity is the realm of ‘</w:t>
      </w:r>
      <w:proofErr w:type="spellStart"/>
      <w:r w:rsidRPr="008A1224">
        <w:rPr>
          <w:lang w:val="en-GB"/>
        </w:rPr>
        <w:t>adam</w:t>
      </w:r>
      <w:proofErr w:type="spellEnd"/>
      <w:r w:rsidRPr="008A1224">
        <w:rPr>
          <w:lang w:val="en-GB"/>
        </w:rPr>
        <w:t xml:space="preserve">, or non-existence. </w:t>
      </w:r>
    </w:p>
    <w:p w:rsidR="008A1224" w:rsidRPr="008A1224" w:rsidRDefault="008A1224" w:rsidP="008A1224">
      <w:pPr>
        <w:ind w:firstLine="567"/>
        <w:jc w:val="both"/>
        <w:rPr>
          <w:lang w:val="en-GB"/>
        </w:rPr>
      </w:pPr>
      <w:proofErr w:type="spellStart"/>
      <w:r w:rsidRPr="008A1224">
        <w:rPr>
          <w:lang w:val="en-GB"/>
        </w:rPr>
        <w:t>Ustad</w:t>
      </w:r>
      <w:proofErr w:type="spellEnd"/>
      <w:r w:rsidRPr="008A1224">
        <w:rPr>
          <w:lang w:val="en-GB"/>
        </w:rPr>
        <w:t xml:space="preserve"> </w:t>
      </w:r>
      <w:proofErr w:type="spellStart"/>
      <w:r w:rsidRPr="008A1224">
        <w:rPr>
          <w:lang w:val="en-GB"/>
        </w:rPr>
        <w:t>Nursi</w:t>
      </w:r>
      <w:proofErr w:type="spellEnd"/>
      <w:r w:rsidRPr="008A1224">
        <w:rPr>
          <w:lang w:val="en-GB"/>
        </w:rPr>
        <w:t xml:space="preserve"> talks with great insight and perspicacity about the two ‘drivers’ of unbelief. One is ‘</w:t>
      </w:r>
      <w:proofErr w:type="spellStart"/>
      <w:r w:rsidRPr="008A1224">
        <w:rPr>
          <w:lang w:val="en-GB"/>
        </w:rPr>
        <w:t>adam-i</w:t>
      </w:r>
      <w:proofErr w:type="spellEnd"/>
      <w:r w:rsidRPr="008A1224">
        <w:rPr>
          <w:lang w:val="en-GB"/>
        </w:rPr>
        <w:t xml:space="preserve"> </w:t>
      </w:r>
      <w:proofErr w:type="spellStart"/>
      <w:r w:rsidRPr="008A1224">
        <w:rPr>
          <w:lang w:val="en-GB"/>
        </w:rPr>
        <w:t>qabul</w:t>
      </w:r>
      <w:proofErr w:type="spellEnd"/>
      <w:r w:rsidRPr="008A1224">
        <w:rPr>
          <w:lang w:val="en-GB"/>
        </w:rPr>
        <w:t xml:space="preserve"> or ‘the non-existence of acceptance’. This describes </w:t>
      </w:r>
      <w:proofErr w:type="gramStart"/>
      <w:r w:rsidRPr="008A1224">
        <w:rPr>
          <w:lang w:val="en-GB"/>
        </w:rPr>
        <w:t>the vast majority of</w:t>
      </w:r>
      <w:proofErr w:type="gramEnd"/>
      <w:r w:rsidRPr="008A1224">
        <w:rPr>
          <w:lang w:val="en-GB"/>
        </w:rPr>
        <w:t xml:space="preserve"> the unthinking masses who describe themselves as unbelievers. Their unbelief inheres quite simply in a lack, a failure to accept, ‘</w:t>
      </w:r>
      <w:proofErr w:type="spellStart"/>
      <w:r w:rsidRPr="008A1224">
        <w:rPr>
          <w:lang w:val="en-GB"/>
        </w:rPr>
        <w:t>adam-i</w:t>
      </w:r>
      <w:proofErr w:type="spellEnd"/>
      <w:r w:rsidRPr="008A1224">
        <w:rPr>
          <w:lang w:val="en-GB"/>
        </w:rPr>
        <w:t xml:space="preserve"> </w:t>
      </w:r>
      <w:proofErr w:type="spellStart"/>
      <w:r w:rsidRPr="008A1224">
        <w:rPr>
          <w:lang w:val="en-GB"/>
        </w:rPr>
        <w:t>qabul</w:t>
      </w:r>
      <w:proofErr w:type="spellEnd"/>
      <w:r w:rsidRPr="008A1224">
        <w:rPr>
          <w:lang w:val="en-GB"/>
        </w:rPr>
        <w:t>. Most fail to accept because, using the ubiquitous justification “I have never given it much thought”. Most unbelievers have that kind of unbelief – the ‘</w:t>
      </w:r>
      <w:proofErr w:type="spellStart"/>
      <w:r w:rsidRPr="008A1224">
        <w:rPr>
          <w:lang w:val="en-GB"/>
        </w:rPr>
        <w:t>adam-i</w:t>
      </w:r>
      <w:proofErr w:type="spellEnd"/>
      <w:r w:rsidRPr="008A1224">
        <w:rPr>
          <w:lang w:val="en-GB"/>
        </w:rPr>
        <w:t xml:space="preserve"> </w:t>
      </w:r>
      <w:proofErr w:type="spellStart"/>
      <w:r w:rsidRPr="008A1224">
        <w:rPr>
          <w:lang w:val="en-GB"/>
        </w:rPr>
        <w:t>qabul</w:t>
      </w:r>
      <w:proofErr w:type="spellEnd"/>
      <w:r w:rsidRPr="008A1224">
        <w:rPr>
          <w:lang w:val="en-GB"/>
        </w:rPr>
        <w:t xml:space="preserve"> kind. If you press them, most of them are </w:t>
      </w:r>
      <w:proofErr w:type="gramStart"/>
      <w:r w:rsidRPr="008A1224">
        <w:rPr>
          <w:lang w:val="en-GB"/>
        </w:rPr>
        <w:t>actually agnostic</w:t>
      </w:r>
      <w:proofErr w:type="gramEnd"/>
      <w:r w:rsidRPr="008A1224">
        <w:rPr>
          <w:lang w:val="en-GB"/>
        </w:rPr>
        <w:t xml:space="preserve"> rather than atheist. They say, “We can’t really know if there is a God, so I am not going to ask questions about it. Maybe there is, maybe there isn’t.”</w:t>
      </w:r>
    </w:p>
    <w:p w:rsidR="008A1224" w:rsidRPr="008A1224" w:rsidRDefault="008A1224" w:rsidP="008A1224">
      <w:pPr>
        <w:ind w:firstLine="567"/>
        <w:jc w:val="both"/>
        <w:rPr>
          <w:lang w:val="en-GB"/>
        </w:rPr>
      </w:pPr>
      <w:r w:rsidRPr="008A1224">
        <w:rPr>
          <w:lang w:val="en-GB"/>
        </w:rPr>
        <w:t xml:space="preserve">The second driver of unbelieve is </w:t>
      </w:r>
      <w:proofErr w:type="spellStart"/>
      <w:r w:rsidRPr="008A1224">
        <w:rPr>
          <w:lang w:val="en-GB"/>
        </w:rPr>
        <w:t>qabul-i</w:t>
      </w:r>
      <w:proofErr w:type="spellEnd"/>
      <w:r w:rsidRPr="008A1224">
        <w:rPr>
          <w:lang w:val="en-GB"/>
        </w:rPr>
        <w:t xml:space="preserve"> ‘</w:t>
      </w:r>
      <w:proofErr w:type="spellStart"/>
      <w:r w:rsidRPr="008A1224">
        <w:rPr>
          <w:lang w:val="en-GB"/>
        </w:rPr>
        <w:t>adam</w:t>
      </w:r>
      <w:proofErr w:type="spellEnd"/>
      <w:r w:rsidRPr="008A1224">
        <w:rPr>
          <w:lang w:val="en-GB"/>
        </w:rPr>
        <w:t xml:space="preserve">, or ‘acceptance of non-existence’. This described the small but increasingly vocal minority of what can only be described as ‘fundamentalist </w:t>
      </w:r>
      <w:proofErr w:type="gramStart"/>
      <w:r w:rsidRPr="008A1224">
        <w:rPr>
          <w:lang w:val="en-GB"/>
        </w:rPr>
        <w:t>atheists’</w:t>
      </w:r>
      <w:proofErr w:type="gramEnd"/>
      <w:r w:rsidRPr="008A1224">
        <w:rPr>
          <w:lang w:val="en-GB"/>
        </w:rPr>
        <w:t xml:space="preserve">. They go to great lengths to advertise their unbelief, and some are very </w:t>
      </w:r>
      <w:r w:rsidRPr="008A1224">
        <w:rPr>
          <w:lang w:val="en-GB"/>
        </w:rPr>
        <w:lastRenderedPageBreak/>
        <w:t xml:space="preserve">adept at proselytizing and spreading their lack of faith. These are the ‘professional atheists’ – pseudo-intellectuals such as Richard Dawkins or Lawrence Krauss. </w:t>
      </w:r>
    </w:p>
    <w:p w:rsidR="008A1224" w:rsidRPr="008A1224" w:rsidRDefault="008A1224" w:rsidP="008A1224">
      <w:pPr>
        <w:ind w:firstLine="567"/>
        <w:jc w:val="both"/>
        <w:rPr>
          <w:lang w:val="en-GB"/>
        </w:rPr>
      </w:pPr>
      <w:r w:rsidRPr="008A1224">
        <w:rPr>
          <w:lang w:val="en-GB"/>
        </w:rPr>
        <w:t>But this is hardly surprising, given the negativity that sits at the very heart of secular ontology: the absence of God. When we have the absence of God, we have the absence of any kind of absolute arbiter or criterion. By virtue of the existence of a failsafe epistemology, a healthy value system and a wholesome set of behavioural norms may be postulated. In the secular setting, however, this is missing. It means that the epistemology, the value systems and the behaviours of the secular individual will also be largely negative in tone and tenor: however positive they are made to seem, however much positive thinking is done, the underlying principles are negative and the underlying tone is one of negativity.</w:t>
      </w:r>
    </w:p>
    <w:p w:rsidR="008A1224" w:rsidRPr="008A1224" w:rsidRDefault="008A1224" w:rsidP="008A1224">
      <w:pPr>
        <w:ind w:firstLine="567"/>
        <w:jc w:val="both"/>
        <w:rPr>
          <w:lang w:val="en-GB"/>
        </w:rPr>
      </w:pPr>
      <w:proofErr w:type="spellStart"/>
      <w:r w:rsidRPr="008A1224">
        <w:rPr>
          <w:lang w:val="en-GB"/>
        </w:rPr>
        <w:t>Ustad</w:t>
      </w:r>
      <w:proofErr w:type="spellEnd"/>
      <w:r w:rsidRPr="008A1224">
        <w:rPr>
          <w:lang w:val="en-GB"/>
        </w:rPr>
        <w:t xml:space="preserve"> </w:t>
      </w:r>
      <w:proofErr w:type="spellStart"/>
      <w:r w:rsidRPr="008A1224">
        <w:rPr>
          <w:lang w:val="en-GB"/>
        </w:rPr>
        <w:t>Nursi’s</w:t>
      </w:r>
      <w:proofErr w:type="spellEnd"/>
      <w:r w:rsidRPr="008A1224">
        <w:rPr>
          <w:lang w:val="en-GB"/>
        </w:rPr>
        <w:t xml:space="preserve"> positivity is a positivity of worldview. It is an ontology founded on existence: the existence of a recognizable ground of being rather than non-existence. His is an epistemology founded on the safe and secure cornerstone of revelation – revelation mediated by reason. Reason, however, is not the main driver here. When revelation and reason go together, revelation has the final word. It is very different from the epistemology of unbelief, which is hesitant and tentative, founded as it is on the shifting sands of human reason, with all its vagaries, unaided by revelation. Revelation and reason in tandem adumbrate a value system which derives its values from the will of the Creator rather than from the vacillating desires of the created. It formulates and advocates a set of behavioural norms which seeks to make us whole rather than to rip us apart and fragment us.</w:t>
      </w:r>
    </w:p>
    <w:p w:rsidR="00833150" w:rsidRDefault="008A1224" w:rsidP="008A1224">
      <w:pPr>
        <w:ind w:firstLine="567"/>
        <w:jc w:val="both"/>
        <w:rPr>
          <w:lang w:val="en-GB"/>
        </w:rPr>
      </w:pPr>
      <w:r w:rsidRPr="008A1224">
        <w:rPr>
          <w:lang w:val="en-GB"/>
        </w:rPr>
        <w:t xml:space="preserve">So positive action – </w:t>
      </w:r>
      <w:proofErr w:type="spellStart"/>
      <w:r w:rsidRPr="008A1224">
        <w:rPr>
          <w:lang w:val="en-GB"/>
        </w:rPr>
        <w:t>musbet</w:t>
      </w:r>
      <w:proofErr w:type="spellEnd"/>
      <w:r w:rsidRPr="008A1224">
        <w:rPr>
          <w:lang w:val="en-GB"/>
        </w:rPr>
        <w:t xml:space="preserve"> </w:t>
      </w:r>
      <w:proofErr w:type="spellStart"/>
      <w:r w:rsidRPr="008A1224">
        <w:rPr>
          <w:lang w:val="en-GB"/>
        </w:rPr>
        <w:t>hareket</w:t>
      </w:r>
      <w:proofErr w:type="spellEnd"/>
      <w:r w:rsidRPr="008A1224">
        <w:rPr>
          <w:lang w:val="en-GB"/>
        </w:rPr>
        <w:t xml:space="preserve"> – is not a method. It is not a strategy that is employed at a </w:t>
      </w:r>
      <w:proofErr w:type="gramStart"/>
      <w:r w:rsidRPr="008A1224">
        <w:rPr>
          <w:lang w:val="en-GB"/>
        </w:rPr>
        <w:t>particular time</w:t>
      </w:r>
      <w:proofErr w:type="gramEnd"/>
      <w:r w:rsidRPr="008A1224">
        <w:rPr>
          <w:lang w:val="en-GB"/>
        </w:rPr>
        <w:t xml:space="preserve"> as a reactive response to a particular event or situation. My argument is that for </w:t>
      </w:r>
      <w:proofErr w:type="spellStart"/>
      <w:r w:rsidRPr="008A1224">
        <w:rPr>
          <w:lang w:val="en-GB"/>
        </w:rPr>
        <w:t>Nursi</w:t>
      </w:r>
      <w:proofErr w:type="spellEnd"/>
      <w:r w:rsidRPr="008A1224">
        <w:rPr>
          <w:lang w:val="en-GB"/>
        </w:rPr>
        <w:t xml:space="preserve">, positivity underpins ontology. Positivity underpins his epistemology, his value system and the behaviours and actions that he advocates. All of these are undergirded by positivity, by existence and by the acceptance of the existence of God. So ‘positive action’ for Said </w:t>
      </w:r>
      <w:proofErr w:type="spellStart"/>
      <w:r w:rsidRPr="008A1224">
        <w:rPr>
          <w:lang w:val="en-GB"/>
        </w:rPr>
        <w:t>Nursi</w:t>
      </w:r>
      <w:proofErr w:type="spellEnd"/>
      <w:r w:rsidRPr="008A1224">
        <w:rPr>
          <w:lang w:val="en-GB"/>
        </w:rPr>
        <w:t xml:space="preserve">, </w:t>
      </w:r>
      <w:r w:rsidRPr="008A1224">
        <w:rPr>
          <w:lang w:val="en-GB"/>
        </w:rPr>
        <w:lastRenderedPageBreak/>
        <w:t xml:space="preserve">at least as I understand it, is a methodology, not a method. And that methodology can be found on every page, and on every line, of the </w:t>
      </w:r>
      <w:proofErr w:type="spellStart"/>
      <w:r w:rsidRPr="008A1224">
        <w:rPr>
          <w:lang w:val="en-GB"/>
        </w:rPr>
        <w:t>Risale-i</w:t>
      </w:r>
      <w:proofErr w:type="spellEnd"/>
      <w:r w:rsidRPr="008A1224">
        <w:rPr>
          <w:lang w:val="en-GB"/>
        </w:rPr>
        <w:t xml:space="preserve"> Nur. This methodology is not something that can be extracted from his teachings and packaged as a ‘quick-fix’ for some problem or other. We cannot approach </w:t>
      </w:r>
      <w:proofErr w:type="spellStart"/>
      <w:r w:rsidRPr="008A1224">
        <w:rPr>
          <w:lang w:val="en-GB"/>
        </w:rPr>
        <w:t>Nursian</w:t>
      </w:r>
      <w:proofErr w:type="spellEnd"/>
      <w:r w:rsidRPr="008A1224">
        <w:rPr>
          <w:lang w:val="en-GB"/>
        </w:rPr>
        <w:t xml:space="preserve"> ‘positive action’ as some abstracted, atomised principle that can be expounded or implemented outside of the whole framework of </w:t>
      </w:r>
      <w:proofErr w:type="spellStart"/>
      <w:r w:rsidRPr="008A1224">
        <w:rPr>
          <w:lang w:val="en-GB"/>
        </w:rPr>
        <w:t>Nursian</w:t>
      </w:r>
      <w:proofErr w:type="spellEnd"/>
      <w:r w:rsidRPr="008A1224">
        <w:rPr>
          <w:lang w:val="en-GB"/>
        </w:rPr>
        <w:t xml:space="preserve"> thought. It is a bit like vitamin supplements. Extracting vitamin C from some fruit and then branding it as a supplement designed to help with certain health issues has only limited value, as all doctors will tell you: it is far better to take vitamin C in an integrated manner, as part of your everyday diet. Eat a diet containing foods that have vitamin C in them, and they will help you much more than a tablet of extracted vitamin C will ever do – mainly because most vitamins need to be taken alongside other vitamins with which they connect synergistically, organically, holistically. There is no ‘positive action’ pill that can be extracted from </w:t>
      </w:r>
      <w:proofErr w:type="spellStart"/>
      <w:r w:rsidRPr="008A1224">
        <w:rPr>
          <w:lang w:val="en-GB"/>
        </w:rPr>
        <w:t>Ustad</w:t>
      </w:r>
      <w:proofErr w:type="spellEnd"/>
      <w:r w:rsidRPr="008A1224">
        <w:rPr>
          <w:lang w:val="en-GB"/>
        </w:rPr>
        <w:t xml:space="preserve"> </w:t>
      </w:r>
      <w:proofErr w:type="spellStart"/>
      <w:r w:rsidRPr="008A1224">
        <w:rPr>
          <w:lang w:val="en-GB"/>
        </w:rPr>
        <w:t>Nursi’s</w:t>
      </w:r>
      <w:proofErr w:type="spellEnd"/>
      <w:r w:rsidRPr="008A1224">
        <w:rPr>
          <w:lang w:val="en-GB"/>
        </w:rPr>
        <w:t xml:space="preserve"> teachings and taken as a supplement: the whole diet must be </w:t>
      </w:r>
      <w:proofErr w:type="spellStart"/>
      <w:r w:rsidRPr="008A1224">
        <w:rPr>
          <w:lang w:val="en-GB"/>
        </w:rPr>
        <w:t>Nursian</w:t>
      </w:r>
      <w:proofErr w:type="spellEnd"/>
      <w:r w:rsidRPr="008A1224">
        <w:rPr>
          <w:lang w:val="en-GB"/>
        </w:rPr>
        <w:t xml:space="preserve"> in nature. His teachings on ‘positive action’ cannot be understood in isolation. They cannot be understood without reference to his discourse on the ‘human I’, on causality, on notions such as </w:t>
      </w:r>
      <w:proofErr w:type="spellStart"/>
      <w:r w:rsidRPr="008A1224">
        <w:rPr>
          <w:lang w:val="en-GB"/>
        </w:rPr>
        <w:t>ma’na-i</w:t>
      </w:r>
      <w:proofErr w:type="spellEnd"/>
      <w:r w:rsidRPr="008A1224">
        <w:rPr>
          <w:lang w:val="en-GB"/>
        </w:rPr>
        <w:t xml:space="preserve"> </w:t>
      </w:r>
      <w:proofErr w:type="spellStart"/>
      <w:r w:rsidRPr="008A1224">
        <w:rPr>
          <w:lang w:val="en-GB"/>
        </w:rPr>
        <w:t>ismī</w:t>
      </w:r>
      <w:proofErr w:type="spellEnd"/>
      <w:r w:rsidRPr="008A1224">
        <w:rPr>
          <w:lang w:val="en-GB"/>
        </w:rPr>
        <w:t xml:space="preserve"> and </w:t>
      </w:r>
      <w:proofErr w:type="spellStart"/>
      <w:r w:rsidRPr="008A1224">
        <w:rPr>
          <w:lang w:val="en-GB"/>
        </w:rPr>
        <w:t>ma’na-i</w:t>
      </w:r>
      <w:proofErr w:type="spellEnd"/>
      <w:r w:rsidRPr="008A1224">
        <w:rPr>
          <w:lang w:val="en-GB"/>
        </w:rPr>
        <w:t xml:space="preserve"> </w:t>
      </w:r>
      <w:proofErr w:type="spellStart"/>
      <w:r w:rsidRPr="008A1224">
        <w:rPr>
          <w:lang w:val="en-GB"/>
        </w:rPr>
        <w:t>harfi</w:t>
      </w:r>
      <w:proofErr w:type="spellEnd"/>
      <w:r w:rsidRPr="008A1224">
        <w:rPr>
          <w:lang w:val="en-GB"/>
        </w:rPr>
        <w:t xml:space="preserve">, and so on. Just as </w:t>
      </w:r>
      <w:proofErr w:type="spellStart"/>
      <w:r w:rsidRPr="008A1224">
        <w:rPr>
          <w:lang w:val="en-GB"/>
        </w:rPr>
        <w:t>Nursi’s</w:t>
      </w:r>
      <w:proofErr w:type="spellEnd"/>
      <w:r w:rsidRPr="008A1224">
        <w:rPr>
          <w:lang w:val="en-GB"/>
        </w:rPr>
        <w:t xml:space="preserve"> understanding of existence is a holistic one, his teachings also come as a comprehensive, all-encompassing discourse and worldview, which cannot be fragmented into detachable, separately implementable methods of problem-solving.</w:t>
      </w:r>
    </w:p>
    <w:p w:rsidR="00AE401C" w:rsidRPr="00AE401C" w:rsidRDefault="00AE401C" w:rsidP="00972BD7">
      <w:pPr>
        <w:ind w:firstLine="567"/>
        <w:jc w:val="both"/>
        <w:rPr>
          <w:lang w:val="en-GB"/>
        </w:rPr>
      </w:pPr>
      <w:bookmarkStart w:id="1" w:name="_GoBack"/>
      <w:bookmarkEnd w:id="1"/>
    </w:p>
    <w:sectPr w:rsidR="00AE401C" w:rsidRPr="00AE401C" w:rsidSect="00972BD7">
      <w:pgSz w:w="9072" w:h="13325"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163B" w:rsidRDefault="006A163B" w:rsidP="00833150">
      <w:pPr>
        <w:spacing w:after="0" w:line="240" w:lineRule="auto"/>
      </w:pPr>
      <w:r>
        <w:separator/>
      </w:r>
    </w:p>
  </w:endnote>
  <w:endnote w:type="continuationSeparator" w:id="0">
    <w:p w:rsidR="006A163B" w:rsidRDefault="006A163B" w:rsidP="00833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2A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163B" w:rsidRDefault="006A163B" w:rsidP="00833150">
      <w:pPr>
        <w:spacing w:after="0" w:line="240" w:lineRule="auto"/>
      </w:pPr>
      <w:r>
        <w:separator/>
      </w:r>
    </w:p>
  </w:footnote>
  <w:footnote w:type="continuationSeparator" w:id="0">
    <w:p w:rsidR="006A163B" w:rsidRDefault="006A163B" w:rsidP="00833150">
      <w:pPr>
        <w:spacing w:after="0" w:line="240" w:lineRule="auto"/>
      </w:pPr>
      <w:r>
        <w:continuationSeparator/>
      </w:r>
    </w:p>
  </w:footnote>
  <w:footnote w:id="1">
    <w:p w:rsidR="00833150" w:rsidRPr="00833150" w:rsidRDefault="00833150" w:rsidP="00833150">
      <w:pPr>
        <w:pStyle w:val="DipnotMetni"/>
      </w:pPr>
      <w:r>
        <w:rPr>
          <w:rStyle w:val="DipnotBavurusu"/>
        </w:rPr>
        <w:t>*</w:t>
      </w:r>
      <w:r>
        <w:t xml:space="preserve"> </w:t>
      </w:r>
      <w:proofErr w:type="spellStart"/>
      <w:r>
        <w:t>Prof.Dr</w:t>
      </w:r>
      <w:proofErr w:type="spellEnd"/>
      <w:r>
        <w:t xml:space="preserve">., </w:t>
      </w:r>
      <w:proofErr w:type="spellStart"/>
      <w:r>
        <w:t>Director</w:t>
      </w:r>
      <w:proofErr w:type="spellEnd"/>
      <w:r>
        <w:t xml:space="preserve"> at International Foundation </w:t>
      </w:r>
      <w:proofErr w:type="spellStart"/>
      <w:r>
        <w:t>for</w:t>
      </w:r>
      <w:proofErr w:type="spellEnd"/>
      <w:r>
        <w:t xml:space="preserve"> </w:t>
      </w:r>
      <w:proofErr w:type="spellStart"/>
      <w:r>
        <w:t>Muslim</w:t>
      </w:r>
      <w:proofErr w:type="spellEnd"/>
      <w:r>
        <w:t xml:space="preserve"> </w:t>
      </w:r>
      <w:proofErr w:type="spellStart"/>
      <w:r>
        <w:t>Theology</w:t>
      </w:r>
      <w:proofErr w:type="spellEnd"/>
      <w:r>
        <w:t xml:space="preserve">, </w:t>
      </w:r>
      <w:proofErr w:type="spellStart"/>
      <w:r>
        <w:t>University</w:t>
      </w:r>
      <w:proofErr w:type="spellEnd"/>
      <w:r>
        <w:t xml:space="preserve"> of </w:t>
      </w:r>
      <w:proofErr w:type="spellStart"/>
      <w:r>
        <w:t>Durham</w:t>
      </w:r>
      <w:proofErr w:type="spellEnd"/>
      <w:r>
        <w:t xml:space="preserve">, United </w:t>
      </w:r>
      <w:proofErr w:type="spellStart"/>
      <w:r>
        <w:t>Kingdom</w:t>
      </w:r>
      <w:proofErr w:type="spellEnd"/>
      <w:r>
        <w:t xml:space="preserve">, </w:t>
      </w:r>
      <w:hyperlink r:id="rId1" w:history="1">
        <w:r w:rsidRPr="00833150">
          <w:rPr>
            <w:rStyle w:val="Kpr"/>
            <w:color w:val="auto"/>
          </w:rPr>
          <w:t>colinpaulturner@yahoo.co.uk</w:t>
        </w:r>
      </w:hyperlink>
      <w:r w:rsidRPr="00833150">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7C7"/>
    <w:rsid w:val="00012277"/>
    <w:rsid w:val="000A4155"/>
    <w:rsid w:val="000B6E88"/>
    <w:rsid w:val="0016567D"/>
    <w:rsid w:val="001A5ECD"/>
    <w:rsid w:val="001B37FF"/>
    <w:rsid w:val="001B52C8"/>
    <w:rsid w:val="00262D70"/>
    <w:rsid w:val="00277B23"/>
    <w:rsid w:val="002F7711"/>
    <w:rsid w:val="003107C7"/>
    <w:rsid w:val="004113F0"/>
    <w:rsid w:val="00415CEE"/>
    <w:rsid w:val="00423F62"/>
    <w:rsid w:val="004B3770"/>
    <w:rsid w:val="00576FBE"/>
    <w:rsid w:val="005C433B"/>
    <w:rsid w:val="0064606F"/>
    <w:rsid w:val="006A163B"/>
    <w:rsid w:val="006F2A3B"/>
    <w:rsid w:val="00731AAA"/>
    <w:rsid w:val="007541CD"/>
    <w:rsid w:val="007B3FC4"/>
    <w:rsid w:val="00833150"/>
    <w:rsid w:val="00837286"/>
    <w:rsid w:val="008A1224"/>
    <w:rsid w:val="00940E45"/>
    <w:rsid w:val="00972BD7"/>
    <w:rsid w:val="0098018C"/>
    <w:rsid w:val="009A4FB3"/>
    <w:rsid w:val="009A5BC8"/>
    <w:rsid w:val="009B5976"/>
    <w:rsid w:val="009F4632"/>
    <w:rsid w:val="00A04FAE"/>
    <w:rsid w:val="00AE401C"/>
    <w:rsid w:val="00AF2860"/>
    <w:rsid w:val="00B31B3D"/>
    <w:rsid w:val="00BB6504"/>
    <w:rsid w:val="00CC0209"/>
    <w:rsid w:val="00CF1CA9"/>
    <w:rsid w:val="00D16CB0"/>
    <w:rsid w:val="00D904B6"/>
    <w:rsid w:val="00DB5D1A"/>
    <w:rsid w:val="00DE59E0"/>
    <w:rsid w:val="00EF38AA"/>
    <w:rsid w:val="00EF5E6E"/>
    <w:rsid w:val="00F3378A"/>
    <w:rsid w:val="00F35687"/>
    <w:rsid w:val="00F42228"/>
    <w:rsid w:val="00FB42E6"/>
  </w:rsids>
  <m:mathPr>
    <m:mathFont m:val="Cambria Math"/>
    <m:brkBin m:val="before"/>
    <m:brkBinSub m:val="--"/>
    <m:smallFrac m:val="0"/>
    <m:dispDef/>
    <m:lMargin m:val="0"/>
    <m:rMargin m:val="0"/>
    <m:defJc m:val="centerGroup"/>
    <m:wrapIndent m:val="1440"/>
    <m:intLim m:val="subSup"/>
    <m:naryLim m:val="undOvr"/>
  </m:mathPr>
  <w:themeFontLang w:val="tr-TR"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84926"/>
  <w15:chartTrackingRefBased/>
  <w15:docId w15:val="{7A3D1A06-9CB4-4DAA-9301-31F9F2034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833150"/>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833150"/>
    <w:rPr>
      <w:sz w:val="20"/>
      <w:szCs w:val="20"/>
    </w:rPr>
  </w:style>
  <w:style w:type="character" w:styleId="DipnotBavurusu">
    <w:name w:val="footnote reference"/>
    <w:basedOn w:val="VarsaylanParagrafYazTipi"/>
    <w:uiPriority w:val="99"/>
    <w:semiHidden/>
    <w:unhideWhenUsed/>
    <w:rsid w:val="00833150"/>
    <w:rPr>
      <w:vertAlign w:val="superscript"/>
    </w:rPr>
  </w:style>
  <w:style w:type="character" w:styleId="Kpr">
    <w:name w:val="Hyperlink"/>
    <w:basedOn w:val="VarsaylanParagrafYazTipi"/>
    <w:uiPriority w:val="99"/>
    <w:unhideWhenUsed/>
    <w:rsid w:val="00833150"/>
    <w:rPr>
      <w:color w:val="0563C1" w:themeColor="hyperlink"/>
      <w:u w:val="single"/>
    </w:rPr>
  </w:style>
  <w:style w:type="character" w:styleId="zmlenmeyenBahsetme">
    <w:name w:val="Unresolved Mention"/>
    <w:basedOn w:val="VarsaylanParagrafYazTipi"/>
    <w:uiPriority w:val="99"/>
    <w:semiHidden/>
    <w:unhideWhenUsed/>
    <w:rsid w:val="008331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mailto:colinpaulturner@yahoo.co.uk"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7B903-E056-4BDF-B48F-483A45C03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8</Pages>
  <Words>2496</Words>
  <Characters>14232</Characters>
  <Application>Microsoft Office Word</Application>
  <DocSecurity>0</DocSecurity>
  <Lines>118</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Nafi Yalçın</cp:lastModifiedBy>
  <cp:revision>18</cp:revision>
  <dcterms:created xsi:type="dcterms:W3CDTF">2020-06-13T11:22:00Z</dcterms:created>
  <dcterms:modified xsi:type="dcterms:W3CDTF">2020-07-09T21:20:00Z</dcterms:modified>
</cp:coreProperties>
</file>